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90FB" w14:textId="3BE71B12" w:rsidR="001D3987" w:rsidRDefault="001D3987" w:rsidP="00CC68E1">
      <w:pPr>
        <w:rPr>
          <w:rFonts w:ascii="Calibri" w:hAnsi="Calibri" w:cs="Calibri"/>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5"/>
        <w:gridCol w:w="3685"/>
      </w:tblGrid>
      <w:tr w:rsidR="00DC6F08" w:rsidRPr="00DC6F08" w14:paraId="4946F0D3" w14:textId="77777777" w:rsidTr="00DC6F08">
        <w:tc>
          <w:tcPr>
            <w:tcW w:w="5665" w:type="dxa"/>
            <w:vAlign w:val="center"/>
            <w:hideMark/>
          </w:tcPr>
          <w:p w14:paraId="59E86ABF" w14:textId="77777777" w:rsidR="00DC6F08" w:rsidRPr="00DC6F08" w:rsidRDefault="00DC6F08" w:rsidP="00DC6F08">
            <w:pPr>
              <w:rPr>
                <w:rFonts w:ascii="Calibri" w:hAnsi="Calibri" w:cs="Calibri"/>
                <w:b/>
                <w:bCs/>
                <w:sz w:val="32"/>
                <w:szCs w:val="32"/>
              </w:rPr>
            </w:pPr>
            <w:bookmarkStart w:id="0" w:name="_Hlk87363817"/>
            <w:r w:rsidRPr="00DC6F08">
              <w:rPr>
                <w:rFonts w:ascii="Calibri" w:hAnsi="Calibri" w:cs="Calibri"/>
                <w:b/>
                <w:bCs/>
                <w:sz w:val="32"/>
                <w:szCs w:val="32"/>
              </w:rPr>
              <w:t>Tool I—Learning Recovery &amp; Redesign</w:t>
            </w:r>
          </w:p>
          <w:p w14:paraId="445407F7" w14:textId="77777777" w:rsidR="00DC6F08" w:rsidRPr="00DC6F08" w:rsidRDefault="00DC6F08" w:rsidP="00DC6F08">
            <w:pPr>
              <w:rPr>
                <w:rFonts w:ascii="Calibri" w:hAnsi="Calibri" w:cs="Calibri"/>
              </w:rPr>
            </w:pPr>
            <w:r w:rsidRPr="00DC6F08">
              <w:rPr>
                <w:rFonts w:ascii="Calibri" w:hAnsi="Calibri" w:cs="Calibri"/>
                <w:b/>
                <w:bCs/>
                <w:sz w:val="32"/>
                <w:szCs w:val="32"/>
                <w:u w:val="single"/>
              </w:rPr>
              <w:t>Guiding Principles</w:t>
            </w:r>
            <w:r w:rsidRPr="00DC6F08">
              <w:rPr>
                <w:rFonts w:ascii="Calibri" w:hAnsi="Calibri" w:cs="Calibri"/>
                <w:b/>
                <w:bCs/>
                <w:sz w:val="32"/>
                <w:szCs w:val="32"/>
              </w:rPr>
              <w:t xml:space="preserve"> Self-Assessment</w:t>
            </w:r>
          </w:p>
        </w:tc>
        <w:tc>
          <w:tcPr>
            <w:tcW w:w="3685" w:type="dxa"/>
            <w:vAlign w:val="center"/>
            <w:hideMark/>
          </w:tcPr>
          <w:p w14:paraId="66C25BC1" w14:textId="6E587868" w:rsidR="00DC6F08" w:rsidRPr="00DC6F08" w:rsidRDefault="00DC6F08" w:rsidP="00DC6F08">
            <w:pPr>
              <w:rPr>
                <w:rFonts w:ascii="Calibri" w:hAnsi="Calibri" w:cs="Calibri"/>
              </w:rPr>
            </w:pPr>
            <w:r>
              <w:rPr>
                <w:rFonts w:ascii="Calibri" w:eastAsiaTheme="minorHAnsi" w:hAnsi="Calibri" w:cs="Calibri"/>
                <w:b/>
                <w:bCs/>
                <w:color w:val="614958" w:themeColor="accent6" w:themeShade="BF"/>
                <w:sz w:val="32"/>
                <w:szCs w:val="32"/>
              </w:rPr>
              <w:t xml:space="preserve">   </w:t>
            </w:r>
            <w:r>
              <w:rPr>
                <w:rFonts w:ascii="Calibri" w:hAnsi="Calibri" w:cs="Calibri"/>
                <w:noProof/>
              </w:rPr>
              <mc:AlternateContent>
                <mc:Choice Requires="wpg">
                  <w:drawing>
                    <wp:inline distT="0" distB="0" distL="0" distR="0" wp14:anchorId="53102F2E" wp14:editId="2EEEEC3A">
                      <wp:extent cx="2187570" cy="635645"/>
                      <wp:effectExtent l="0" t="0" r="3810" b="0"/>
                      <wp:docPr id="21" name="Group 21"/>
                      <wp:cNvGraphicFramePr/>
                      <a:graphic xmlns:a="http://schemas.openxmlformats.org/drawingml/2006/main">
                        <a:graphicData uri="http://schemas.microsoft.com/office/word/2010/wordprocessingGroup">
                          <wpg:wgp>
                            <wpg:cNvGrpSpPr/>
                            <wpg:grpSpPr>
                              <a:xfrm>
                                <a:off x="0" y="0"/>
                                <a:ext cx="2187570" cy="635645"/>
                                <a:chOff x="-184068" y="0"/>
                                <a:chExt cx="2187570" cy="635645"/>
                              </a:xfrm>
                            </wpg:grpSpPr>
                            <pic:pic xmlns:pic="http://schemas.openxmlformats.org/drawingml/2006/picture">
                              <pic:nvPicPr>
                                <pic:cNvPr id="4" name="Picture 4"/>
                                <pic:cNvPicPr>
                                  <a:picLocks noChangeAspect="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451052" y="41564"/>
                                  <a:ext cx="552450" cy="552450"/>
                                </a:xfrm>
                                <a:prstGeom prst="rect">
                                  <a:avLst/>
                                </a:prstGeom>
                                <a:noFill/>
                                <a:ln>
                                  <a:noFill/>
                                </a:ln>
                              </pic:spPr>
                            </pic:pic>
                            <wps:wsp>
                              <wps:cNvPr id="20" name="Text Box 217"/>
                              <wps:cNvSpPr txBox="1">
                                <a:spLocks noChangeArrowheads="1"/>
                              </wps:cNvSpPr>
                              <wps:spPr bwMode="auto">
                                <a:xfrm>
                                  <a:off x="-184068" y="0"/>
                                  <a:ext cx="1668146" cy="63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706A" w14:textId="77777777" w:rsidR="00DC6F08" w:rsidRDefault="00DC6F08" w:rsidP="00DC6F08">
                                    <w:pPr>
                                      <w:jc w:val="center"/>
                                    </w:pPr>
                                    <w:r w:rsidRPr="009C0949">
                                      <w:rPr>
                                        <w:rFonts w:ascii="Calibri" w:hAnsi="Calibri" w:cs="Calibri"/>
                                        <w:b/>
                                        <w:bCs/>
                                        <w:color w:val="614958" w:themeColor="accent6" w:themeShade="BF"/>
                                        <w:sz w:val="32"/>
                                        <w:szCs w:val="32"/>
                                      </w:rPr>
                                      <w:t>CENTER</w:t>
                                    </w:r>
                                    <w:r>
                                      <w:rPr>
                                        <w:rFonts w:ascii="Calibri" w:hAnsi="Calibri" w:cs="Calibri"/>
                                        <w:b/>
                                        <w:bCs/>
                                        <w:color w:val="614958" w:themeColor="accent6" w:themeShade="BF"/>
                                        <w:sz w:val="32"/>
                                        <w:szCs w:val="32"/>
                                      </w:rPr>
                                      <w:t xml:space="preserve"> </w:t>
                                    </w:r>
                                    <w:r w:rsidRPr="009C0949">
                                      <w:rPr>
                                        <w:rFonts w:ascii="Calibri" w:hAnsi="Calibri" w:cs="Calibri"/>
                                        <w:b/>
                                        <w:bCs/>
                                        <w:color w:val="614958" w:themeColor="accent6" w:themeShade="BF"/>
                                        <w:sz w:val="32"/>
                                        <w:szCs w:val="32"/>
                                      </w:rPr>
                                      <w:t>EQUITY</w:t>
                                    </w:r>
                                  </w:p>
                                </w:txbxContent>
                              </wps:txbx>
                              <wps:bodyPr rot="0" vert="horz" wrap="square" lIns="91440" tIns="45720" rIns="91440" bIns="45720" anchor="ctr" anchorCtr="0" upright="1">
                                <a:noAutofit/>
                              </wps:bodyPr>
                            </wps:wsp>
                          </wpg:wgp>
                        </a:graphicData>
                      </a:graphic>
                    </wp:inline>
                  </w:drawing>
                </mc:Choice>
                <mc:Fallback>
                  <w:pict>
                    <v:group w14:anchorId="53102F2E" id="Group 21" o:spid="_x0000_s1026" style="width:172.25pt;height:50.05pt;mso-position-horizontal-relative:char;mso-position-vertical-relative:line" coordorigin="-1840" coordsize="21875,6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510;top:415;width:5525;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">
                        <v:imagedata r:id="rId8" o:title="" recolortarget="#392b34 [1449]"/>
                      </v:shape>
                      <v:shapetype id="_x0000_t202" coordsize="21600,21600" o:spt="202" path="m,l,21600r21600,l21600,xe">
                        <v:stroke joinstyle="miter"/>
                        <v:path gradientshapeok="t" o:connecttype="rect"/>
                      </v:shapetype>
                      <v:shape id="Text Box 217" o:spid="_x0000_s1028" type="#_x0000_t202" style="position:absolute;left:-1840;width:16680;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" stroked="f">
                        <v:textbox>
                          <w:txbxContent>
                            <w:p w14:paraId="5F0F706A" w14:textId="77777777" w:rsidR="00DC6F08" w:rsidRDefault="00DC6F08" w:rsidP="00DC6F08">
                              <w:pPr>
                                <w:jc w:val="center"/>
                              </w:pPr>
                              <w:r w:rsidRPr="009C0949">
                                <w:rPr>
                                  <w:rFonts w:ascii="Calibri" w:hAnsi="Calibri" w:cs="Calibri"/>
                                  <w:b/>
                                  <w:bCs/>
                                  <w:color w:val="614958" w:themeColor="accent6" w:themeShade="BF"/>
                                  <w:sz w:val="32"/>
                                  <w:szCs w:val="32"/>
                                </w:rPr>
                                <w:t>CENTER</w:t>
                              </w:r>
                              <w:r>
                                <w:rPr>
                                  <w:rFonts w:ascii="Calibri" w:hAnsi="Calibri" w:cs="Calibri"/>
                                  <w:b/>
                                  <w:bCs/>
                                  <w:color w:val="614958" w:themeColor="accent6" w:themeShade="BF"/>
                                  <w:sz w:val="32"/>
                                  <w:szCs w:val="32"/>
                                </w:rPr>
                                <w:t xml:space="preserve"> </w:t>
                              </w:r>
                              <w:r w:rsidRPr="009C0949">
                                <w:rPr>
                                  <w:rFonts w:ascii="Calibri" w:hAnsi="Calibri" w:cs="Calibri"/>
                                  <w:b/>
                                  <w:bCs/>
                                  <w:color w:val="614958" w:themeColor="accent6" w:themeShade="BF"/>
                                  <w:sz w:val="32"/>
                                  <w:szCs w:val="32"/>
                                </w:rPr>
                                <w:t>EQUITY</w:t>
                              </w:r>
                            </w:p>
                          </w:txbxContent>
                        </v:textbox>
                      </v:shape>
                      <w10:anchorlock/>
                    </v:group>
                  </w:pict>
                </mc:Fallback>
              </mc:AlternateContent>
            </w:r>
            <w:r>
              <w:rPr>
                <w:rFonts w:ascii="Calibri" w:eastAsiaTheme="minorHAnsi" w:hAnsi="Calibri" w:cs="Calibri"/>
                <w:b/>
                <w:bCs/>
                <w:color w:val="614958" w:themeColor="accent6" w:themeShade="BF"/>
                <w:sz w:val="32"/>
                <w:szCs w:val="32"/>
              </w:rPr>
              <w:t xml:space="preserve">       </w:t>
            </w:r>
          </w:p>
        </w:tc>
        <w:bookmarkEnd w:id="0"/>
      </w:tr>
    </w:tbl>
    <w:p w14:paraId="2C064739" w14:textId="4B8E017A" w:rsidR="00DC6F08" w:rsidRPr="00A83C2A" w:rsidRDefault="00DC6F08" w:rsidP="00CC68E1">
      <w:pPr>
        <w:rPr>
          <w:rFonts w:ascii="Calibri" w:hAnsi="Calibri" w:cs="Calibri"/>
          <w:sz w:val="28"/>
          <w:szCs w:val="28"/>
        </w:rPr>
      </w:pPr>
    </w:p>
    <w:p w14:paraId="06CC88E6" w14:textId="77777777" w:rsidR="001D3987" w:rsidRPr="0057517A" w:rsidRDefault="001D3987" w:rsidP="001D3987">
      <w:pPr>
        <w:rPr>
          <w:rFonts w:ascii="Calibri" w:hAnsi="Calibri" w:cs="Calibri"/>
          <w:b/>
          <w:bCs/>
          <w:i/>
          <w:iCs/>
        </w:rPr>
      </w:pPr>
      <w:r w:rsidRPr="0057517A">
        <w:rPr>
          <w:rFonts w:ascii="Calibri" w:hAnsi="Calibri" w:cs="Calibri"/>
          <w:b/>
          <w:bCs/>
          <w:sz w:val="24"/>
          <w:szCs w:val="24"/>
        </w:rPr>
        <w:t>What do we mean by “</w:t>
      </w:r>
      <w:r>
        <w:rPr>
          <w:rFonts w:ascii="Calibri" w:hAnsi="Calibri" w:cs="Calibri"/>
          <w:b/>
          <w:bCs/>
          <w:sz w:val="24"/>
          <w:szCs w:val="24"/>
        </w:rPr>
        <w:t>Center Equity</w:t>
      </w:r>
      <w:r w:rsidRPr="0057517A">
        <w:rPr>
          <w:rFonts w:ascii="Calibri" w:hAnsi="Calibri" w:cs="Calibri"/>
          <w:b/>
          <w:bCs/>
          <w:sz w:val="24"/>
          <w:szCs w:val="24"/>
        </w:rPr>
        <w:t>”?</w:t>
      </w:r>
      <w:r w:rsidRPr="0057517A">
        <w:rPr>
          <w:rFonts w:ascii="Calibri" w:hAnsi="Calibri" w:cs="Calibri"/>
          <w:b/>
          <w:bCs/>
          <w:i/>
          <w:iCs/>
        </w:rPr>
        <w:t xml:space="preserve"> </w:t>
      </w:r>
    </w:p>
    <w:p w14:paraId="2730C9CB" w14:textId="11489D94" w:rsidR="00512E4B" w:rsidRDefault="00512E4B" w:rsidP="001D3987">
      <w:pPr>
        <w:spacing w:line="240" w:lineRule="auto"/>
        <w:rPr>
          <w:rFonts w:ascii="Calibri" w:hAnsi="Calibri" w:cs="Calibri"/>
          <w:color w:val="000000"/>
        </w:rPr>
      </w:pPr>
      <w:r w:rsidRPr="00512E4B">
        <w:rPr>
          <w:rFonts w:ascii="Calibri" w:eastAsia="Calibri" w:hAnsi="Calibri" w:cs="Calibri"/>
          <w:lang w:val="en"/>
        </w:rPr>
        <w:t xml:space="preserve">Your ESSER decisions should reflect a commitment to meeting everyone’s unique needs and an acknowledgment that the pandemic did not affect everyone in the same way. Do the hard work to understand what individual students, staff, and schools need and then allocate your resources accordingly with specific attention to those students and communities most impacted by COVID. </w:t>
      </w:r>
      <w:r w:rsidRPr="00512E4B">
        <w:rPr>
          <w:rFonts w:ascii="Calibri" w:eastAsia="Calibri" w:hAnsi="Calibri" w:cs="Calibri"/>
          <w:b/>
          <w:lang w:val="en"/>
        </w:rPr>
        <w:t xml:space="preserve">Remember: equal is rarely equitable. </w:t>
      </w:r>
      <w:r w:rsidRPr="00512E4B">
        <w:rPr>
          <w:rFonts w:ascii="Calibri" w:eastAsia="Calibri" w:hAnsi="Calibri" w:cs="Calibri"/>
          <w:lang w:val="en"/>
        </w:rPr>
        <w:t xml:space="preserve">Also, a </w:t>
      </w:r>
      <w:hyperlink r:id="rId9">
        <w:r w:rsidRPr="00512E4B">
          <w:rPr>
            <w:rFonts w:ascii="Calibri" w:eastAsia="Calibri" w:hAnsi="Calibri" w:cs="Calibri"/>
            <w:color w:val="1155CC"/>
            <w:u w:val="single"/>
            <w:lang w:val="en"/>
          </w:rPr>
          <w:t>truly equitable recovery</w:t>
        </w:r>
      </w:hyperlink>
      <w:r w:rsidRPr="00512E4B">
        <w:rPr>
          <w:rFonts w:ascii="Calibri" w:eastAsia="Calibri" w:hAnsi="Calibri" w:cs="Calibri"/>
          <w:lang w:val="en"/>
        </w:rPr>
        <w:t xml:space="preserve"> must also include addressing any systems that </w:t>
      </w:r>
      <w:r>
        <w:rPr>
          <w:rFonts w:ascii="Calibri" w:eastAsia="Calibri" w:hAnsi="Calibri" w:cs="Calibri"/>
          <w:lang w:val="en"/>
        </w:rPr>
        <w:t xml:space="preserve">create or perpetuate </w:t>
      </w:r>
      <w:r w:rsidRPr="00512E4B">
        <w:rPr>
          <w:rFonts w:ascii="Calibri" w:eastAsia="Calibri" w:hAnsi="Calibri" w:cs="Calibri"/>
          <w:lang w:val="en"/>
        </w:rPr>
        <w:t xml:space="preserve">inequities. If things were inequitable before the pandemic, your recovery should not just go “back to normal.” </w:t>
      </w:r>
    </w:p>
    <w:p w14:paraId="218AEAB1" w14:textId="77777777" w:rsidR="00512E4B" w:rsidRDefault="00512E4B" w:rsidP="001D3987">
      <w:pPr>
        <w:spacing w:line="240" w:lineRule="auto"/>
        <w:rPr>
          <w:rFonts w:ascii="Calibri" w:hAnsi="Calibri" w:cs="Calibri"/>
          <w:color w:val="000000"/>
        </w:rPr>
      </w:pPr>
    </w:p>
    <w:p w14:paraId="616C46CF" w14:textId="77777777" w:rsidR="001D3987" w:rsidRPr="0057517A" w:rsidRDefault="001D3987" w:rsidP="001D3987">
      <w:pPr>
        <w:rPr>
          <w:rFonts w:ascii="Calibri" w:hAnsi="Calibri" w:cs="Calibri"/>
        </w:rPr>
      </w:pPr>
    </w:p>
    <w:p w14:paraId="11E54D44" w14:textId="70324E52" w:rsidR="001D3987" w:rsidRPr="0057517A" w:rsidRDefault="001D3987" w:rsidP="001D3987">
      <w:pPr>
        <w:spacing w:after="200" w:line="360" w:lineRule="auto"/>
        <w:contextualSpacing/>
        <w:rPr>
          <w:rFonts w:ascii="Calibri" w:hAnsi="Calibri" w:cs="Calibri"/>
          <w:sz w:val="24"/>
          <w:szCs w:val="24"/>
        </w:rPr>
      </w:pPr>
      <w:r>
        <w:rPr>
          <w:rFonts w:ascii="Calibri" w:hAnsi="Calibri" w:cs="Calibri"/>
          <w:b/>
          <w:bCs/>
          <w:sz w:val="24"/>
          <w:szCs w:val="24"/>
        </w:rPr>
        <w:t xml:space="preserve">How much of a priority </w:t>
      </w:r>
      <w:r w:rsidR="00B603C4">
        <w:rPr>
          <w:rFonts w:ascii="Calibri" w:hAnsi="Calibri" w:cs="Calibri"/>
          <w:b/>
          <w:bCs/>
          <w:sz w:val="24"/>
          <w:szCs w:val="24"/>
        </w:rPr>
        <w:t>wa</w:t>
      </w:r>
      <w:r>
        <w:rPr>
          <w:rFonts w:ascii="Calibri" w:hAnsi="Calibri" w:cs="Calibri"/>
          <w:b/>
          <w:bCs/>
          <w:sz w:val="24"/>
          <w:szCs w:val="24"/>
        </w:rPr>
        <w:t xml:space="preserve">s this Guiding Principle for your </w:t>
      </w:r>
      <w:r w:rsidR="009C0949">
        <w:rPr>
          <w:rFonts w:ascii="Calibri" w:hAnsi="Calibri" w:cs="Calibri"/>
          <w:b/>
          <w:bCs/>
          <w:sz w:val="24"/>
          <w:szCs w:val="24"/>
        </w:rPr>
        <w:t xml:space="preserve">initial </w:t>
      </w:r>
      <w:r>
        <w:rPr>
          <w:rFonts w:ascii="Calibri" w:hAnsi="Calibri" w:cs="Calibri"/>
          <w:b/>
          <w:bCs/>
          <w:sz w:val="24"/>
          <w:szCs w:val="24"/>
        </w:rPr>
        <w:t>planning?</w:t>
      </w:r>
    </w:p>
    <w:tbl>
      <w:tblPr>
        <w:tblStyle w:val="TableGrid"/>
        <w:tblW w:w="0" w:type="auto"/>
        <w:tblLayout w:type="fixed"/>
        <w:tblCellMar>
          <w:left w:w="115" w:type="dxa"/>
          <w:right w:w="115" w:type="dxa"/>
        </w:tblCellMar>
        <w:tblLook w:val="04A0" w:firstRow="1" w:lastRow="0" w:firstColumn="1" w:lastColumn="0" w:noHBand="0" w:noVBand="1"/>
      </w:tblPr>
      <w:tblGrid>
        <w:gridCol w:w="360"/>
        <w:gridCol w:w="1800"/>
        <w:gridCol w:w="360"/>
        <w:gridCol w:w="2340"/>
        <w:gridCol w:w="360"/>
        <w:gridCol w:w="2070"/>
        <w:gridCol w:w="360"/>
        <w:gridCol w:w="1795"/>
      </w:tblGrid>
      <w:tr w:rsidR="001D3987" w:rsidRPr="0057517A" w14:paraId="4D5447FC" w14:textId="77777777" w:rsidTr="00F175B7">
        <w:trPr>
          <w:trHeight w:val="251"/>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D1E9EB" w14:textId="77777777" w:rsidR="001D3987" w:rsidRPr="0057517A" w:rsidRDefault="001D3987" w:rsidP="00F175B7">
            <w:pPr>
              <w:rPr>
                <w:rFonts w:ascii="Calibri" w:hAnsi="Calibri" w:cs="Calibri"/>
              </w:rPr>
            </w:pPr>
          </w:p>
        </w:tc>
        <w:tc>
          <w:tcPr>
            <w:tcW w:w="1800" w:type="dxa"/>
            <w:tcBorders>
              <w:top w:val="nil"/>
              <w:left w:val="single" w:sz="4" w:space="0" w:color="auto"/>
              <w:bottom w:val="nil"/>
            </w:tcBorders>
            <w:shd w:val="clear" w:color="auto" w:fill="auto"/>
            <w:vAlign w:val="center"/>
          </w:tcPr>
          <w:p w14:paraId="2407A966" w14:textId="77777777" w:rsidR="001D3987" w:rsidRPr="0057517A" w:rsidRDefault="001D3987" w:rsidP="00F175B7">
            <w:pPr>
              <w:rPr>
                <w:rFonts w:ascii="Calibri" w:hAnsi="Calibri" w:cs="Calibri"/>
              </w:rPr>
            </w:pPr>
            <w:r>
              <w:rPr>
                <w:rFonts w:ascii="Calibri" w:hAnsi="Calibri" w:cs="Calibri"/>
              </w:rPr>
              <w:t>Low</w:t>
            </w:r>
            <w:r w:rsidRPr="0057517A">
              <w:rPr>
                <w:rFonts w:ascii="Calibri" w:hAnsi="Calibri" w:cs="Calibri"/>
              </w:rPr>
              <w:t xml:space="preserve"> Priority</w:t>
            </w:r>
          </w:p>
        </w:tc>
        <w:tc>
          <w:tcPr>
            <w:tcW w:w="360" w:type="dxa"/>
            <w:tcBorders>
              <w:bottom w:val="single" w:sz="4" w:space="0" w:color="auto"/>
            </w:tcBorders>
            <w:shd w:val="clear" w:color="auto" w:fill="auto"/>
            <w:vAlign w:val="center"/>
          </w:tcPr>
          <w:p w14:paraId="54FA7D67" w14:textId="77777777" w:rsidR="001D3987" w:rsidRPr="0057517A" w:rsidRDefault="001D3987" w:rsidP="00F175B7">
            <w:pPr>
              <w:rPr>
                <w:rFonts w:ascii="Calibri" w:hAnsi="Calibri" w:cs="Calibri"/>
              </w:rPr>
            </w:pPr>
          </w:p>
        </w:tc>
        <w:tc>
          <w:tcPr>
            <w:tcW w:w="2340" w:type="dxa"/>
            <w:tcBorders>
              <w:top w:val="nil"/>
              <w:bottom w:val="nil"/>
            </w:tcBorders>
            <w:shd w:val="clear" w:color="auto" w:fill="auto"/>
            <w:vAlign w:val="center"/>
          </w:tcPr>
          <w:p w14:paraId="28A9BFF8" w14:textId="77777777" w:rsidR="001D3987" w:rsidRPr="0057517A" w:rsidRDefault="001D3987" w:rsidP="00F175B7">
            <w:pPr>
              <w:rPr>
                <w:rFonts w:ascii="Calibri" w:hAnsi="Calibri" w:cs="Calibri"/>
              </w:rPr>
            </w:pPr>
            <w:r w:rsidRPr="0057517A">
              <w:rPr>
                <w:rFonts w:ascii="Calibri" w:hAnsi="Calibri" w:cs="Calibri"/>
              </w:rPr>
              <w:t>Somewhat Priority</w:t>
            </w:r>
          </w:p>
        </w:tc>
        <w:tc>
          <w:tcPr>
            <w:tcW w:w="360" w:type="dxa"/>
            <w:tcBorders>
              <w:bottom w:val="single" w:sz="4" w:space="0" w:color="auto"/>
            </w:tcBorders>
            <w:shd w:val="clear" w:color="auto" w:fill="auto"/>
            <w:vAlign w:val="center"/>
          </w:tcPr>
          <w:p w14:paraId="133667FC" w14:textId="77777777" w:rsidR="001D3987" w:rsidRPr="0057517A" w:rsidRDefault="001D3987" w:rsidP="00F175B7">
            <w:pPr>
              <w:rPr>
                <w:rFonts w:ascii="Calibri" w:hAnsi="Calibri" w:cs="Calibri"/>
              </w:rPr>
            </w:pPr>
          </w:p>
        </w:tc>
        <w:tc>
          <w:tcPr>
            <w:tcW w:w="2070" w:type="dxa"/>
            <w:tcBorders>
              <w:top w:val="nil"/>
              <w:bottom w:val="nil"/>
            </w:tcBorders>
            <w:shd w:val="clear" w:color="auto" w:fill="auto"/>
            <w:vAlign w:val="center"/>
          </w:tcPr>
          <w:p w14:paraId="293FEEB0" w14:textId="77777777" w:rsidR="001D3987" w:rsidRPr="0057517A" w:rsidRDefault="001D3987" w:rsidP="00F175B7">
            <w:pPr>
              <w:rPr>
                <w:rFonts w:ascii="Calibri" w:hAnsi="Calibri" w:cs="Calibri"/>
              </w:rPr>
            </w:pPr>
            <w:r>
              <w:rPr>
                <w:rFonts w:ascii="Calibri" w:hAnsi="Calibri" w:cs="Calibri"/>
              </w:rPr>
              <w:t xml:space="preserve">Moderate </w:t>
            </w:r>
            <w:r w:rsidRPr="0057517A">
              <w:rPr>
                <w:rFonts w:ascii="Calibri" w:hAnsi="Calibri" w:cs="Calibri"/>
              </w:rPr>
              <w:t>Priority</w:t>
            </w:r>
          </w:p>
        </w:tc>
        <w:tc>
          <w:tcPr>
            <w:tcW w:w="360" w:type="dxa"/>
            <w:tcBorders>
              <w:bottom w:val="single" w:sz="4" w:space="0" w:color="auto"/>
            </w:tcBorders>
            <w:shd w:val="clear" w:color="auto" w:fill="auto"/>
            <w:vAlign w:val="center"/>
          </w:tcPr>
          <w:p w14:paraId="14B49C00" w14:textId="77777777" w:rsidR="001D3987" w:rsidRPr="0057517A" w:rsidRDefault="001D3987" w:rsidP="00F175B7">
            <w:pPr>
              <w:rPr>
                <w:rFonts w:ascii="Calibri" w:hAnsi="Calibri" w:cs="Calibri"/>
              </w:rPr>
            </w:pPr>
          </w:p>
        </w:tc>
        <w:tc>
          <w:tcPr>
            <w:tcW w:w="1795" w:type="dxa"/>
            <w:tcBorders>
              <w:top w:val="nil"/>
              <w:bottom w:val="nil"/>
              <w:right w:val="nil"/>
            </w:tcBorders>
            <w:shd w:val="clear" w:color="auto" w:fill="auto"/>
            <w:vAlign w:val="center"/>
          </w:tcPr>
          <w:p w14:paraId="6FD1591B" w14:textId="77777777" w:rsidR="001D3987" w:rsidRPr="0057517A" w:rsidRDefault="001D3987" w:rsidP="00F175B7">
            <w:pPr>
              <w:rPr>
                <w:rFonts w:ascii="Calibri" w:hAnsi="Calibri" w:cs="Calibri"/>
              </w:rPr>
            </w:pPr>
            <w:r>
              <w:rPr>
                <w:rFonts w:ascii="Calibri" w:hAnsi="Calibri" w:cs="Calibri"/>
              </w:rPr>
              <w:t>High</w:t>
            </w:r>
            <w:r w:rsidRPr="0057517A">
              <w:rPr>
                <w:rFonts w:ascii="Calibri" w:hAnsi="Calibri" w:cs="Calibri"/>
              </w:rPr>
              <w:t xml:space="preserve"> Priority</w:t>
            </w:r>
          </w:p>
        </w:tc>
      </w:tr>
      <w:tr w:rsidR="001D3987" w:rsidRPr="0057517A" w14:paraId="6915A79E" w14:textId="77777777" w:rsidTr="00F175B7">
        <w:trPr>
          <w:trHeight w:val="83"/>
        </w:trPr>
        <w:tc>
          <w:tcPr>
            <w:tcW w:w="360" w:type="dxa"/>
            <w:gridSpan w:val="8"/>
            <w:tcBorders>
              <w:top w:val="nil"/>
              <w:left w:val="nil"/>
              <w:bottom w:val="single" w:sz="4" w:space="0" w:color="auto"/>
              <w:right w:val="nil"/>
            </w:tcBorders>
            <w:shd w:val="clear" w:color="auto" w:fill="auto"/>
          </w:tcPr>
          <w:p w14:paraId="355A6D08" w14:textId="77777777" w:rsidR="001D3987" w:rsidRPr="00737F89" w:rsidRDefault="001D3987" w:rsidP="00F175B7">
            <w:pPr>
              <w:rPr>
                <w:rFonts w:ascii="Calibri" w:hAnsi="Calibri" w:cs="Calibri"/>
                <w:sz w:val="16"/>
                <w:szCs w:val="16"/>
              </w:rPr>
            </w:pPr>
          </w:p>
        </w:tc>
      </w:tr>
      <w:tr w:rsidR="001D3987" w:rsidRPr="0057517A" w14:paraId="2FF7858D" w14:textId="77777777" w:rsidTr="00F175B7">
        <w:trPr>
          <w:trHeight w:val="928"/>
        </w:trPr>
        <w:tc>
          <w:tcPr>
            <w:tcW w:w="360" w:type="dxa"/>
            <w:gridSpan w:val="8"/>
            <w:tcBorders>
              <w:top w:val="single" w:sz="4" w:space="0" w:color="auto"/>
            </w:tcBorders>
            <w:shd w:val="clear" w:color="auto" w:fill="auto"/>
          </w:tcPr>
          <w:p w14:paraId="7ECC3ED2" w14:textId="77777777" w:rsidR="001D3987" w:rsidRPr="0057517A" w:rsidRDefault="001D3987" w:rsidP="00F175B7">
            <w:pPr>
              <w:rPr>
                <w:rFonts w:ascii="Calibri" w:hAnsi="Calibri" w:cs="Calibri"/>
              </w:rPr>
            </w:pPr>
            <w:r w:rsidRPr="003A3EDA">
              <w:rPr>
                <w:rFonts w:ascii="Calibri" w:hAnsi="Calibri" w:cs="Calibri"/>
                <w:i/>
                <w:iCs/>
              </w:rPr>
              <w:t>Why?</w:t>
            </w:r>
            <w:r>
              <w:rPr>
                <w:rFonts w:ascii="Calibri" w:hAnsi="Calibri" w:cs="Calibri"/>
              </w:rPr>
              <w:t xml:space="preserve"> </w:t>
            </w:r>
          </w:p>
          <w:p w14:paraId="7C930A1A" w14:textId="77777777" w:rsidR="001D3987" w:rsidRPr="0057517A" w:rsidRDefault="001D3987" w:rsidP="00F175B7">
            <w:pPr>
              <w:tabs>
                <w:tab w:val="left" w:pos="4680"/>
              </w:tabs>
              <w:rPr>
                <w:rFonts w:ascii="Calibri" w:hAnsi="Calibri" w:cs="Calibri"/>
              </w:rPr>
            </w:pPr>
          </w:p>
        </w:tc>
      </w:tr>
    </w:tbl>
    <w:p w14:paraId="45CB40AC" w14:textId="77777777" w:rsidR="001D3987" w:rsidRDefault="001D3987" w:rsidP="001D3987">
      <w:pPr>
        <w:rPr>
          <w:rFonts w:ascii="Calibri" w:hAnsi="Calibri" w:cs="Calibri"/>
        </w:rPr>
      </w:pPr>
      <w:r w:rsidRPr="0057517A">
        <w:rPr>
          <w:rFonts w:ascii="Calibri" w:hAnsi="Calibri" w:cs="Calibri"/>
        </w:rPr>
        <w:t xml:space="preserve"> </w:t>
      </w:r>
    </w:p>
    <w:p w14:paraId="217CE725" w14:textId="77777777" w:rsidR="001D3987" w:rsidRPr="0057517A" w:rsidRDefault="001D3987" w:rsidP="001D3987">
      <w:pPr>
        <w:rPr>
          <w:rFonts w:ascii="Calibri" w:hAnsi="Calibri" w:cs="Calibri"/>
        </w:rPr>
      </w:pPr>
    </w:p>
    <w:p w14:paraId="4FBC360E" w14:textId="19E03EB1" w:rsidR="001D3987" w:rsidRPr="0057517A" w:rsidRDefault="001D3987" w:rsidP="001D3987">
      <w:pPr>
        <w:spacing w:line="276" w:lineRule="auto"/>
        <w:rPr>
          <w:rFonts w:ascii="Calibri" w:hAnsi="Calibri" w:cs="Calibri"/>
          <w:sz w:val="24"/>
          <w:szCs w:val="24"/>
        </w:rPr>
      </w:pPr>
      <w:r>
        <w:rPr>
          <w:rFonts w:ascii="Calibri" w:hAnsi="Calibri" w:cs="Calibri"/>
          <w:b/>
          <w:bCs/>
          <w:sz w:val="24"/>
          <w:szCs w:val="24"/>
        </w:rPr>
        <w:t>Do you see look-fors</w:t>
      </w:r>
      <w:r w:rsidR="00383E1F">
        <w:rPr>
          <w:rFonts w:ascii="Calibri" w:hAnsi="Calibri" w:cs="Calibri"/>
          <w:b/>
          <w:bCs/>
          <w:sz w:val="24"/>
          <w:szCs w:val="24"/>
        </w:rPr>
        <w:t xml:space="preserve"> like these</w:t>
      </w:r>
      <w:r>
        <w:rPr>
          <w:rFonts w:ascii="Calibri" w:hAnsi="Calibri" w:cs="Calibri"/>
          <w:b/>
          <w:bCs/>
          <w:sz w:val="24"/>
          <w:szCs w:val="24"/>
        </w:rPr>
        <w:t xml:space="preserve"> in your current plan?</w:t>
      </w:r>
    </w:p>
    <w:p w14:paraId="02729919" w14:textId="77777777" w:rsidR="001D3987" w:rsidRDefault="001D3987" w:rsidP="001D3987">
      <w:pPr>
        <w:spacing w:after="200" w:line="240" w:lineRule="auto"/>
        <w:rPr>
          <w:rFonts w:ascii="Calibri" w:hAnsi="Calibri" w:cs="Calibri"/>
        </w:rPr>
      </w:pPr>
      <w:r>
        <w:rPr>
          <w:rFonts w:ascii="Calibri" w:hAnsi="Calibri" w:cs="Calibri"/>
        </w:rPr>
        <w:t xml:space="preserve">There are opportunities to center equity in the what, who, how, and when of your plans. Below are some </w:t>
      </w:r>
      <w:r>
        <w:rPr>
          <w:rFonts w:ascii="Calibri" w:hAnsi="Calibri" w:cs="Calibri"/>
          <w:i/>
          <w:iCs/>
        </w:rPr>
        <w:t xml:space="preserve">illustrative </w:t>
      </w:r>
      <w:r>
        <w:rPr>
          <w:rFonts w:ascii="Calibri" w:hAnsi="Calibri" w:cs="Calibri"/>
        </w:rPr>
        <w:t>examples of how this Guiding Principle might show up in your current plan.</w:t>
      </w:r>
    </w:p>
    <w:p w14:paraId="0167F7AD" w14:textId="77777777" w:rsidR="001D3987" w:rsidRPr="005C326F" w:rsidRDefault="001D3987" w:rsidP="00383E1F">
      <w:pPr>
        <w:pStyle w:val="ListParagraph"/>
        <w:numPr>
          <w:ilvl w:val="0"/>
          <w:numId w:val="7"/>
        </w:numPr>
        <w:spacing w:after="100" w:line="240" w:lineRule="auto"/>
        <w:contextualSpacing w:val="0"/>
        <w:rPr>
          <w:rFonts w:ascii="Calibri" w:hAnsi="Calibri" w:cs="Calibri"/>
        </w:rPr>
      </w:pPr>
      <w:r w:rsidRPr="005C326F">
        <w:rPr>
          <w:rFonts w:ascii="Calibri" w:hAnsi="Calibri" w:cs="Calibri"/>
          <w:b/>
          <w:bCs/>
        </w:rPr>
        <w:t>Your plan connects resources to needs, even if it means different funding levels across schools.</w:t>
      </w:r>
      <w:r w:rsidRPr="005C326F">
        <w:rPr>
          <w:rFonts w:ascii="Calibri" w:hAnsi="Calibri" w:cs="Calibri"/>
        </w:rPr>
        <w:t xml:space="preserve"> For example, if your plan includes passing some of your ESSER funds to schools for principals to spend, you use an allocation methodology that assigns greater weight to those student groups and communities most impacted by the pandemic.</w:t>
      </w:r>
    </w:p>
    <w:p w14:paraId="0C95660B" w14:textId="47A56042" w:rsidR="001D3987" w:rsidRPr="005C326F" w:rsidRDefault="001D3987" w:rsidP="00383E1F">
      <w:pPr>
        <w:pStyle w:val="ListParagraph"/>
        <w:numPr>
          <w:ilvl w:val="0"/>
          <w:numId w:val="7"/>
        </w:numPr>
        <w:spacing w:after="100" w:line="240" w:lineRule="auto"/>
        <w:contextualSpacing w:val="0"/>
        <w:rPr>
          <w:rFonts w:ascii="Calibri" w:hAnsi="Calibri" w:cs="Calibri"/>
        </w:rPr>
      </w:pPr>
      <w:r w:rsidRPr="005C326F">
        <w:rPr>
          <w:rFonts w:ascii="Calibri" w:hAnsi="Calibri" w:cs="Calibri"/>
          <w:b/>
          <w:bCs/>
        </w:rPr>
        <w:t xml:space="preserve">Your plan </w:t>
      </w:r>
      <w:r w:rsidR="00F0000B">
        <w:rPr>
          <w:rFonts w:ascii="Calibri" w:hAnsi="Calibri" w:cs="Calibri"/>
          <w:b/>
          <w:bCs/>
        </w:rPr>
        <w:t>centers</w:t>
      </w:r>
      <w:r w:rsidR="00F0000B" w:rsidRPr="005C326F">
        <w:rPr>
          <w:rFonts w:ascii="Calibri" w:hAnsi="Calibri" w:cs="Calibri"/>
          <w:b/>
          <w:bCs/>
        </w:rPr>
        <w:t xml:space="preserve"> </w:t>
      </w:r>
      <w:r w:rsidRPr="005C326F">
        <w:rPr>
          <w:rFonts w:ascii="Calibri" w:hAnsi="Calibri" w:cs="Calibri"/>
          <w:b/>
          <w:bCs/>
        </w:rPr>
        <w:t>student voice and experience.</w:t>
      </w:r>
      <w:r w:rsidRPr="005C326F">
        <w:rPr>
          <w:rFonts w:ascii="Calibri" w:hAnsi="Calibri" w:cs="Calibri"/>
        </w:rPr>
        <w:t xml:space="preserve"> For example, your plan establishes a student-led equity advisory committee and institutes regular </w:t>
      </w:r>
      <w:hyperlink r:id="rId10" w:history="1">
        <w:r w:rsidRPr="00DC6F08">
          <w:rPr>
            <w:rStyle w:val="Hyperlink"/>
            <w:rFonts w:ascii="Calibri" w:hAnsi="Calibri" w:cs="Calibri"/>
            <w:color w:val="0070C0"/>
          </w:rPr>
          <w:t>student experience surveys</w:t>
        </w:r>
      </w:hyperlink>
      <w:r w:rsidRPr="005C326F">
        <w:rPr>
          <w:rFonts w:ascii="Calibri" w:hAnsi="Calibri" w:cs="Calibri"/>
        </w:rPr>
        <w:t xml:space="preserve"> that students and school/district leaders review and identify how </w:t>
      </w:r>
      <w:r w:rsidR="00CD531B">
        <w:rPr>
          <w:rFonts w:ascii="Calibri" w:hAnsi="Calibri" w:cs="Calibri"/>
        </w:rPr>
        <w:t xml:space="preserve">best to </w:t>
      </w:r>
      <w:r w:rsidRPr="005C326F">
        <w:rPr>
          <w:rFonts w:ascii="Calibri" w:hAnsi="Calibri" w:cs="Calibri"/>
        </w:rPr>
        <w:t>respond to the data</w:t>
      </w:r>
      <w:r w:rsidR="00CD531B">
        <w:rPr>
          <w:rFonts w:ascii="Calibri" w:hAnsi="Calibri" w:cs="Calibri"/>
        </w:rPr>
        <w:t>, particularly regarding the most-impacted students</w:t>
      </w:r>
      <w:r w:rsidRPr="005C326F">
        <w:rPr>
          <w:rFonts w:ascii="Calibri" w:hAnsi="Calibri" w:cs="Calibri"/>
        </w:rPr>
        <w:t>.</w:t>
      </w:r>
    </w:p>
    <w:p w14:paraId="5A787554" w14:textId="21920ECF" w:rsidR="001D3987" w:rsidRPr="005C326F" w:rsidRDefault="001D3987" w:rsidP="00383E1F">
      <w:pPr>
        <w:pStyle w:val="ListParagraph"/>
        <w:numPr>
          <w:ilvl w:val="0"/>
          <w:numId w:val="7"/>
        </w:numPr>
        <w:spacing w:after="100" w:line="240" w:lineRule="auto"/>
        <w:contextualSpacing w:val="0"/>
        <w:rPr>
          <w:rFonts w:ascii="Calibri" w:hAnsi="Calibri" w:cs="Calibri"/>
        </w:rPr>
      </w:pPr>
      <w:r w:rsidRPr="005C326F">
        <w:rPr>
          <w:rFonts w:ascii="Calibri" w:hAnsi="Calibri" w:cs="Calibri"/>
          <w:b/>
          <w:bCs/>
        </w:rPr>
        <w:t>Your plan tackles long standing inequities.</w:t>
      </w:r>
      <w:r w:rsidRPr="005C326F">
        <w:rPr>
          <w:rFonts w:ascii="Calibri" w:hAnsi="Calibri" w:cs="Calibri"/>
        </w:rPr>
        <w:t xml:space="preserve"> For example, if </w:t>
      </w:r>
      <w:r w:rsidR="00CD531B">
        <w:rPr>
          <w:rFonts w:ascii="Calibri" w:hAnsi="Calibri" w:cs="Calibri"/>
        </w:rPr>
        <w:t xml:space="preserve">you have data indicating that </w:t>
      </w:r>
      <w:r w:rsidRPr="005C326F">
        <w:rPr>
          <w:rFonts w:ascii="Calibri" w:hAnsi="Calibri" w:cs="Calibri"/>
        </w:rPr>
        <w:t>students of color do not feel as welcome in your schools as white students, your plan includes new investments to directly address this issue, such as adopting culturally relevant curricula and instructional practices and hiring a diverse, representative staff.</w:t>
      </w:r>
    </w:p>
    <w:p w14:paraId="5A39ED37" w14:textId="77777777" w:rsidR="001D3987" w:rsidRDefault="001D3987" w:rsidP="001D3987">
      <w:pPr>
        <w:rPr>
          <w:rFonts w:ascii="Calibri" w:hAnsi="Calibri" w:cs="Calibri"/>
        </w:rPr>
      </w:pPr>
    </w:p>
    <w:p w14:paraId="7B4E30E4" w14:textId="77777777" w:rsidR="001D3987" w:rsidRPr="0057517A" w:rsidRDefault="001D3987" w:rsidP="001D3987">
      <w:pPr>
        <w:rPr>
          <w:rFonts w:ascii="Calibri" w:hAnsi="Calibri" w:cs="Calibri"/>
        </w:rPr>
      </w:pPr>
    </w:p>
    <w:p w14:paraId="01B699D6" w14:textId="1A7A0D0B" w:rsidR="001D3987" w:rsidRDefault="001D3987" w:rsidP="001D3987">
      <w:pPr>
        <w:rPr>
          <w:rFonts w:ascii="Calibri" w:hAnsi="Calibri" w:cs="Calibri"/>
          <w:b/>
          <w:bCs/>
          <w:sz w:val="24"/>
          <w:szCs w:val="24"/>
        </w:rPr>
      </w:pPr>
    </w:p>
    <w:p w14:paraId="7BC80EDA" w14:textId="77777777" w:rsidR="00A83C2A" w:rsidRDefault="00A83C2A" w:rsidP="001D3987">
      <w:pPr>
        <w:spacing w:line="360" w:lineRule="auto"/>
        <w:rPr>
          <w:rFonts w:ascii="Calibri" w:hAnsi="Calibri" w:cs="Calibri"/>
          <w:b/>
          <w:bCs/>
          <w:sz w:val="24"/>
          <w:szCs w:val="24"/>
        </w:rPr>
      </w:pPr>
    </w:p>
    <w:p w14:paraId="553855B9" w14:textId="45702F01" w:rsidR="001D3987" w:rsidRDefault="001D3987" w:rsidP="001D3987">
      <w:pPr>
        <w:spacing w:line="360" w:lineRule="auto"/>
        <w:rPr>
          <w:rFonts w:ascii="Calibri" w:hAnsi="Calibri" w:cs="Calibri"/>
          <w:b/>
          <w:bCs/>
          <w:sz w:val="24"/>
          <w:szCs w:val="24"/>
        </w:rPr>
      </w:pPr>
      <w:r>
        <w:rPr>
          <w:rFonts w:ascii="Calibri" w:hAnsi="Calibri" w:cs="Calibri"/>
          <w:b/>
          <w:bCs/>
          <w:sz w:val="24"/>
          <w:szCs w:val="24"/>
        </w:rPr>
        <w:lastRenderedPageBreak/>
        <w:t xml:space="preserve">How much does this Guiding Principle </w:t>
      </w:r>
      <w:r w:rsidR="00867B43">
        <w:rPr>
          <w:rFonts w:ascii="Calibri" w:hAnsi="Calibri" w:cs="Calibri"/>
          <w:b/>
          <w:bCs/>
          <w:sz w:val="24"/>
          <w:szCs w:val="24"/>
        </w:rPr>
        <w:t xml:space="preserve">actually </w:t>
      </w:r>
      <w:r>
        <w:rPr>
          <w:rFonts w:ascii="Calibri" w:hAnsi="Calibri" w:cs="Calibri"/>
          <w:b/>
          <w:bCs/>
          <w:sz w:val="24"/>
          <w:szCs w:val="24"/>
        </w:rPr>
        <w:t>show up in your plan?</w:t>
      </w:r>
    </w:p>
    <w:tbl>
      <w:tblPr>
        <w:tblStyle w:val="TableGrid"/>
        <w:tblW w:w="9440" w:type="dxa"/>
        <w:tblLayout w:type="fixed"/>
        <w:tblCellMar>
          <w:left w:w="115" w:type="dxa"/>
          <w:right w:w="72" w:type="dxa"/>
        </w:tblCellMar>
        <w:tblLook w:val="04A0" w:firstRow="1" w:lastRow="0" w:firstColumn="1" w:lastColumn="0" w:noHBand="0" w:noVBand="1"/>
      </w:tblPr>
      <w:tblGrid>
        <w:gridCol w:w="355"/>
        <w:gridCol w:w="1800"/>
        <w:gridCol w:w="360"/>
        <w:gridCol w:w="2340"/>
        <w:gridCol w:w="360"/>
        <w:gridCol w:w="2070"/>
        <w:gridCol w:w="360"/>
        <w:gridCol w:w="1795"/>
      </w:tblGrid>
      <w:tr w:rsidR="001D3987" w:rsidRPr="0057517A" w14:paraId="5EE414E3" w14:textId="77777777" w:rsidTr="00F175B7">
        <w:trPr>
          <w:trHeight w:val="127"/>
        </w:trPr>
        <w:tc>
          <w:tcPr>
            <w:tcW w:w="355" w:type="dxa"/>
            <w:tcBorders>
              <w:bottom w:val="single" w:sz="4" w:space="0" w:color="auto"/>
            </w:tcBorders>
            <w:shd w:val="clear" w:color="auto" w:fill="auto"/>
          </w:tcPr>
          <w:p w14:paraId="6D3D6FC6" w14:textId="77777777" w:rsidR="001D3987" w:rsidRPr="0057517A" w:rsidRDefault="001D3987" w:rsidP="00F175B7">
            <w:pPr>
              <w:rPr>
                <w:rFonts w:ascii="Calibri" w:hAnsi="Calibri" w:cs="Calibri"/>
              </w:rPr>
            </w:pPr>
          </w:p>
        </w:tc>
        <w:tc>
          <w:tcPr>
            <w:tcW w:w="1800" w:type="dxa"/>
            <w:tcBorders>
              <w:top w:val="nil"/>
              <w:bottom w:val="nil"/>
            </w:tcBorders>
            <w:shd w:val="clear" w:color="auto" w:fill="auto"/>
            <w:vAlign w:val="center"/>
          </w:tcPr>
          <w:p w14:paraId="68F60067" w14:textId="77777777" w:rsidR="001D3987" w:rsidRPr="0057517A" w:rsidRDefault="001D3987" w:rsidP="00F175B7">
            <w:pPr>
              <w:rPr>
                <w:rFonts w:ascii="Calibri" w:hAnsi="Calibri" w:cs="Calibri"/>
              </w:rPr>
            </w:pPr>
            <w:r>
              <w:rPr>
                <w:rFonts w:ascii="Calibri" w:hAnsi="Calibri" w:cs="Calibri"/>
              </w:rPr>
              <w:t>Minimally</w:t>
            </w:r>
          </w:p>
        </w:tc>
        <w:tc>
          <w:tcPr>
            <w:tcW w:w="360" w:type="dxa"/>
            <w:tcBorders>
              <w:bottom w:val="single" w:sz="4" w:space="0" w:color="auto"/>
            </w:tcBorders>
            <w:shd w:val="clear" w:color="auto" w:fill="auto"/>
          </w:tcPr>
          <w:p w14:paraId="407A6AD3" w14:textId="77777777" w:rsidR="001D3987" w:rsidRPr="0057517A" w:rsidRDefault="001D3987" w:rsidP="00F175B7">
            <w:pPr>
              <w:rPr>
                <w:rFonts w:ascii="Calibri" w:hAnsi="Calibri" w:cs="Calibri"/>
              </w:rPr>
            </w:pPr>
          </w:p>
        </w:tc>
        <w:tc>
          <w:tcPr>
            <w:tcW w:w="2340" w:type="dxa"/>
            <w:tcBorders>
              <w:top w:val="nil"/>
              <w:bottom w:val="nil"/>
            </w:tcBorders>
            <w:shd w:val="clear" w:color="auto" w:fill="auto"/>
            <w:vAlign w:val="center"/>
          </w:tcPr>
          <w:p w14:paraId="336100B6" w14:textId="77777777" w:rsidR="001D3987" w:rsidRPr="0057517A" w:rsidRDefault="001D3987" w:rsidP="00F175B7">
            <w:pPr>
              <w:rPr>
                <w:rFonts w:ascii="Calibri" w:hAnsi="Calibri" w:cs="Calibri"/>
              </w:rPr>
            </w:pPr>
            <w:r w:rsidRPr="0057517A">
              <w:rPr>
                <w:rFonts w:ascii="Calibri" w:hAnsi="Calibri" w:cs="Calibri"/>
              </w:rPr>
              <w:t xml:space="preserve">Somewhat </w:t>
            </w:r>
          </w:p>
        </w:tc>
        <w:tc>
          <w:tcPr>
            <w:tcW w:w="360" w:type="dxa"/>
            <w:tcBorders>
              <w:bottom w:val="single" w:sz="4" w:space="0" w:color="auto"/>
            </w:tcBorders>
            <w:shd w:val="clear" w:color="auto" w:fill="auto"/>
          </w:tcPr>
          <w:p w14:paraId="2B651AB6" w14:textId="77777777" w:rsidR="001D3987" w:rsidRPr="0057517A" w:rsidRDefault="001D3987" w:rsidP="00F175B7">
            <w:pPr>
              <w:rPr>
                <w:rFonts w:ascii="Calibri" w:hAnsi="Calibri" w:cs="Calibri"/>
              </w:rPr>
            </w:pPr>
          </w:p>
        </w:tc>
        <w:tc>
          <w:tcPr>
            <w:tcW w:w="2070" w:type="dxa"/>
            <w:tcBorders>
              <w:top w:val="nil"/>
              <w:bottom w:val="nil"/>
            </w:tcBorders>
            <w:shd w:val="clear" w:color="auto" w:fill="auto"/>
            <w:vAlign w:val="center"/>
          </w:tcPr>
          <w:p w14:paraId="60BE94BA" w14:textId="77777777" w:rsidR="001D3987" w:rsidRPr="0057517A" w:rsidRDefault="001D3987" w:rsidP="00F175B7">
            <w:pPr>
              <w:rPr>
                <w:rFonts w:ascii="Calibri" w:hAnsi="Calibri" w:cs="Calibri"/>
              </w:rPr>
            </w:pPr>
            <w:r>
              <w:rPr>
                <w:rFonts w:ascii="Calibri" w:hAnsi="Calibri" w:cs="Calibri"/>
              </w:rPr>
              <w:t>Moderately</w:t>
            </w:r>
          </w:p>
        </w:tc>
        <w:tc>
          <w:tcPr>
            <w:tcW w:w="360" w:type="dxa"/>
            <w:tcBorders>
              <w:bottom w:val="single" w:sz="4" w:space="0" w:color="auto"/>
            </w:tcBorders>
            <w:shd w:val="clear" w:color="auto" w:fill="auto"/>
          </w:tcPr>
          <w:p w14:paraId="0A5C90E5" w14:textId="77777777" w:rsidR="001D3987" w:rsidRPr="0057517A" w:rsidRDefault="001D3987" w:rsidP="00F175B7">
            <w:pPr>
              <w:rPr>
                <w:rFonts w:ascii="Calibri" w:hAnsi="Calibri" w:cs="Calibri"/>
              </w:rPr>
            </w:pPr>
          </w:p>
        </w:tc>
        <w:tc>
          <w:tcPr>
            <w:tcW w:w="1795" w:type="dxa"/>
            <w:tcBorders>
              <w:top w:val="nil"/>
              <w:bottom w:val="nil"/>
              <w:right w:val="nil"/>
            </w:tcBorders>
            <w:shd w:val="clear" w:color="auto" w:fill="auto"/>
            <w:vAlign w:val="center"/>
          </w:tcPr>
          <w:p w14:paraId="1C2F5532" w14:textId="77777777" w:rsidR="001D3987" w:rsidRPr="0057517A" w:rsidRDefault="001D3987" w:rsidP="00F175B7">
            <w:pPr>
              <w:rPr>
                <w:rFonts w:ascii="Calibri" w:hAnsi="Calibri" w:cs="Calibri"/>
              </w:rPr>
            </w:pPr>
            <w:r>
              <w:rPr>
                <w:rFonts w:ascii="Calibri" w:hAnsi="Calibri" w:cs="Calibri"/>
              </w:rPr>
              <w:t>Significantly</w:t>
            </w:r>
          </w:p>
        </w:tc>
      </w:tr>
    </w:tbl>
    <w:p w14:paraId="6F022B5E" w14:textId="77777777" w:rsidR="001D3987" w:rsidRPr="00737F89" w:rsidRDefault="001D3987" w:rsidP="001D3987">
      <w:pPr>
        <w:rPr>
          <w:rFonts w:ascii="Calibri" w:hAnsi="Calibri" w:cs="Calibri"/>
          <w:sz w:val="16"/>
          <w:szCs w:val="16"/>
        </w:rPr>
      </w:pPr>
    </w:p>
    <w:tbl>
      <w:tblPr>
        <w:tblStyle w:val="TableGrid"/>
        <w:tblW w:w="0" w:type="auto"/>
        <w:tblCellMar>
          <w:top w:w="130" w:type="dxa"/>
          <w:left w:w="144" w:type="dxa"/>
          <w:bottom w:w="72" w:type="dxa"/>
          <w:right w:w="144" w:type="dxa"/>
        </w:tblCellMar>
        <w:tblLook w:val="04A0" w:firstRow="1" w:lastRow="0" w:firstColumn="1" w:lastColumn="0" w:noHBand="0" w:noVBand="1"/>
      </w:tblPr>
      <w:tblGrid>
        <w:gridCol w:w="9350"/>
      </w:tblGrid>
      <w:tr w:rsidR="001D3987" w:rsidRPr="0057517A" w14:paraId="6DEBE7EA" w14:textId="77777777" w:rsidTr="00F175B7">
        <w:tc>
          <w:tcPr>
            <w:tcW w:w="9350" w:type="dxa"/>
            <w:shd w:val="clear" w:color="auto" w:fill="auto"/>
          </w:tcPr>
          <w:p w14:paraId="4146AC5C" w14:textId="77777777" w:rsidR="001D3987" w:rsidRPr="0057517A" w:rsidRDefault="001D3987" w:rsidP="00F175B7">
            <w:pPr>
              <w:spacing w:after="100"/>
              <w:rPr>
                <w:rFonts w:ascii="Calibri" w:hAnsi="Calibri" w:cs="Calibri"/>
              </w:rPr>
            </w:pPr>
            <w:r w:rsidRPr="0002722B">
              <w:rPr>
                <w:rFonts w:ascii="Calibri" w:hAnsi="Calibri" w:cs="Calibri"/>
                <w:i/>
                <w:iCs/>
              </w:rPr>
              <w:t xml:space="preserve">Describe specific ways in which this Guiding Principle </w:t>
            </w:r>
            <w:r w:rsidRPr="0002722B">
              <w:rPr>
                <w:rFonts w:ascii="Calibri" w:hAnsi="Calibri" w:cs="Calibri"/>
                <w:b/>
                <w:bCs/>
                <w:i/>
                <w:iCs/>
              </w:rPr>
              <w:t>shows up</w:t>
            </w:r>
            <w:r w:rsidRPr="0002722B">
              <w:rPr>
                <w:rFonts w:ascii="Calibri" w:hAnsi="Calibri" w:cs="Calibri"/>
                <w:i/>
                <w:iCs/>
              </w:rPr>
              <w:t xml:space="preserve"> in your plan</w:t>
            </w:r>
            <w:r w:rsidRPr="0057517A">
              <w:rPr>
                <w:rFonts w:ascii="Calibri" w:hAnsi="Calibri" w:cs="Calibri"/>
              </w:rPr>
              <w:t>.</w:t>
            </w:r>
          </w:p>
          <w:p w14:paraId="4F4F1EF6" w14:textId="77777777" w:rsidR="001D3987" w:rsidRPr="0057517A" w:rsidRDefault="001D3987" w:rsidP="00F175B7">
            <w:pPr>
              <w:pStyle w:val="ListParagraph"/>
              <w:numPr>
                <w:ilvl w:val="0"/>
                <w:numId w:val="4"/>
              </w:numPr>
              <w:spacing w:after="100"/>
              <w:contextualSpacing w:val="0"/>
              <w:rPr>
                <w:rFonts w:ascii="Calibri" w:hAnsi="Calibri" w:cs="Calibri"/>
              </w:rPr>
            </w:pPr>
            <w:r w:rsidRPr="0057517A">
              <w:rPr>
                <w:rFonts w:ascii="Calibri" w:hAnsi="Calibri" w:cs="Calibri"/>
              </w:rPr>
              <w:t xml:space="preserve"> </w:t>
            </w:r>
          </w:p>
          <w:p w14:paraId="29639F88" w14:textId="77777777" w:rsidR="001D3987" w:rsidRPr="00236D8F" w:rsidRDefault="001D3987" w:rsidP="00F175B7">
            <w:pPr>
              <w:pStyle w:val="ListParagraph"/>
              <w:numPr>
                <w:ilvl w:val="0"/>
                <w:numId w:val="4"/>
              </w:numPr>
              <w:tabs>
                <w:tab w:val="left" w:pos="7230"/>
              </w:tabs>
              <w:spacing w:after="100"/>
              <w:contextualSpacing w:val="0"/>
              <w:rPr>
                <w:rFonts w:ascii="Calibri" w:hAnsi="Calibri" w:cs="Calibri"/>
              </w:rPr>
            </w:pPr>
            <w:r>
              <w:rPr>
                <w:rFonts w:ascii="Calibri" w:hAnsi="Calibri" w:cs="Calibri"/>
              </w:rPr>
              <w:t xml:space="preserve"> </w:t>
            </w:r>
          </w:p>
        </w:tc>
      </w:tr>
    </w:tbl>
    <w:p w14:paraId="0E2CEF1A" w14:textId="77777777" w:rsidR="001D3987" w:rsidRPr="0057517A" w:rsidRDefault="001D3987" w:rsidP="001D3987">
      <w:pPr>
        <w:rPr>
          <w:rFonts w:ascii="Calibri" w:hAnsi="Calibri" w:cs="Calibri"/>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50"/>
      </w:tblGrid>
      <w:tr w:rsidR="001D3987" w:rsidRPr="0057517A" w14:paraId="765A76F3" w14:textId="77777777" w:rsidTr="00F175B7">
        <w:tc>
          <w:tcPr>
            <w:tcW w:w="9350" w:type="dxa"/>
            <w:shd w:val="clear" w:color="auto" w:fill="auto"/>
          </w:tcPr>
          <w:p w14:paraId="6CDD6BEB" w14:textId="77777777" w:rsidR="001D3987" w:rsidRPr="0057517A" w:rsidRDefault="001D3987" w:rsidP="00F175B7">
            <w:pPr>
              <w:spacing w:after="100"/>
              <w:rPr>
                <w:rFonts w:ascii="Calibri" w:hAnsi="Calibri" w:cs="Calibri"/>
              </w:rPr>
            </w:pPr>
            <w:r w:rsidRPr="0002722B">
              <w:rPr>
                <w:rFonts w:ascii="Calibri" w:hAnsi="Calibri" w:cs="Calibri"/>
                <w:i/>
                <w:iCs/>
              </w:rPr>
              <w:t xml:space="preserve">Describe specific ways in which this Guiding Principle is </w:t>
            </w:r>
            <w:r w:rsidRPr="0002722B">
              <w:rPr>
                <w:rFonts w:ascii="Calibri" w:hAnsi="Calibri" w:cs="Calibri"/>
                <w:b/>
                <w:bCs/>
                <w:i/>
                <w:iCs/>
              </w:rPr>
              <w:t>lacking</w:t>
            </w:r>
            <w:r w:rsidRPr="0002722B">
              <w:rPr>
                <w:rFonts w:ascii="Calibri" w:hAnsi="Calibri" w:cs="Calibri"/>
                <w:i/>
                <w:iCs/>
              </w:rPr>
              <w:t xml:space="preserve"> in your plan</w:t>
            </w:r>
            <w:r w:rsidRPr="0057517A">
              <w:rPr>
                <w:rFonts w:ascii="Calibri" w:hAnsi="Calibri" w:cs="Calibri"/>
              </w:rPr>
              <w:t>.</w:t>
            </w:r>
          </w:p>
          <w:p w14:paraId="05820E69" w14:textId="77777777" w:rsidR="001D3987" w:rsidRPr="0057517A" w:rsidRDefault="001D3987" w:rsidP="00F175B7">
            <w:pPr>
              <w:pStyle w:val="ListParagraph"/>
              <w:numPr>
                <w:ilvl w:val="0"/>
                <w:numId w:val="4"/>
              </w:numPr>
              <w:spacing w:after="100"/>
              <w:contextualSpacing w:val="0"/>
              <w:rPr>
                <w:rFonts w:ascii="Calibri" w:hAnsi="Calibri" w:cs="Calibri"/>
              </w:rPr>
            </w:pPr>
            <w:r w:rsidRPr="0057517A">
              <w:rPr>
                <w:rFonts w:ascii="Calibri" w:hAnsi="Calibri" w:cs="Calibri"/>
              </w:rPr>
              <w:t xml:space="preserve"> </w:t>
            </w:r>
          </w:p>
          <w:p w14:paraId="696F8551" w14:textId="77777777" w:rsidR="001D3987" w:rsidRPr="00236D8F" w:rsidRDefault="001D3987" w:rsidP="00F175B7">
            <w:pPr>
              <w:pStyle w:val="ListParagraph"/>
              <w:numPr>
                <w:ilvl w:val="0"/>
                <w:numId w:val="4"/>
              </w:numPr>
              <w:spacing w:after="100"/>
              <w:contextualSpacing w:val="0"/>
              <w:rPr>
                <w:rFonts w:ascii="Calibri" w:hAnsi="Calibri" w:cs="Calibri"/>
              </w:rPr>
            </w:pPr>
            <w:r w:rsidRPr="0057517A">
              <w:rPr>
                <w:rFonts w:ascii="Calibri" w:hAnsi="Calibri" w:cs="Calibri"/>
              </w:rPr>
              <w:t xml:space="preserve"> </w:t>
            </w:r>
          </w:p>
        </w:tc>
      </w:tr>
    </w:tbl>
    <w:p w14:paraId="07923228" w14:textId="77777777" w:rsidR="001D3987" w:rsidRPr="00003C6A" w:rsidRDefault="001D3987" w:rsidP="001D3987">
      <w:pPr>
        <w:rPr>
          <w:rFonts w:ascii="Calibri" w:hAnsi="Calibri" w:cs="Calibri"/>
          <w:sz w:val="18"/>
          <w:szCs w:val="18"/>
        </w:rPr>
      </w:pPr>
    </w:p>
    <w:p w14:paraId="0E9ACEF9" w14:textId="77777777" w:rsidR="001D3987" w:rsidRPr="0057517A" w:rsidRDefault="001D3987" w:rsidP="001D3987">
      <w:pPr>
        <w:rPr>
          <w:rFonts w:ascii="Calibri" w:hAnsi="Calibri" w:cs="Calibri"/>
        </w:rPr>
      </w:pPr>
    </w:p>
    <w:p w14:paraId="6402E0E6" w14:textId="77777777" w:rsidR="001D3987" w:rsidRPr="0057517A" w:rsidRDefault="001D3987" w:rsidP="001D3987">
      <w:pPr>
        <w:spacing w:line="240" w:lineRule="auto"/>
        <w:rPr>
          <w:rFonts w:ascii="Calibri" w:hAnsi="Calibri" w:cs="Calibri"/>
          <w:b/>
          <w:bCs/>
          <w:sz w:val="24"/>
          <w:szCs w:val="24"/>
        </w:rPr>
      </w:pPr>
      <w:r>
        <w:rPr>
          <w:rFonts w:ascii="Calibri" w:hAnsi="Calibri" w:cs="Calibri"/>
          <w:b/>
          <w:bCs/>
          <w:sz w:val="24"/>
          <w:szCs w:val="24"/>
        </w:rPr>
        <w:t xml:space="preserve">How can you integrate this Guiding Principle more? </w:t>
      </w:r>
    </w:p>
    <w:p w14:paraId="5D7ACB78" w14:textId="3F3D2F51" w:rsidR="001D3987" w:rsidRPr="00537C64" w:rsidRDefault="001D3987" w:rsidP="001D3987">
      <w:pPr>
        <w:spacing w:line="240" w:lineRule="auto"/>
        <w:rPr>
          <w:rFonts w:ascii="Calibri" w:hAnsi="Calibri" w:cs="Calibri"/>
        </w:rPr>
      </w:pPr>
      <w:r w:rsidRPr="0057517A">
        <w:rPr>
          <w:rFonts w:ascii="Calibri" w:hAnsi="Calibri" w:cs="Calibri"/>
        </w:rPr>
        <w:t xml:space="preserve">The following resources may be helpful </w:t>
      </w:r>
      <w:r>
        <w:rPr>
          <w:rFonts w:ascii="Calibri" w:hAnsi="Calibri" w:cs="Calibri"/>
        </w:rPr>
        <w:t xml:space="preserve">as you </w:t>
      </w:r>
      <w:r w:rsidRPr="009403C8">
        <w:rPr>
          <w:rFonts w:ascii="Calibri" w:hAnsi="Calibri" w:cs="Calibri"/>
        </w:rPr>
        <w:t xml:space="preserve">seek </w:t>
      </w:r>
      <w:r w:rsidR="00D76910">
        <w:rPr>
          <w:rFonts w:ascii="Calibri" w:hAnsi="Calibri" w:cs="Calibri"/>
        </w:rPr>
        <w:t xml:space="preserve">more </w:t>
      </w:r>
      <w:r w:rsidRPr="00537C64">
        <w:rPr>
          <w:rFonts w:ascii="Calibri" w:hAnsi="Calibri" w:cs="Calibri"/>
        </w:rPr>
        <w:t xml:space="preserve">ways to </w:t>
      </w:r>
      <w:r>
        <w:rPr>
          <w:rFonts w:ascii="Calibri" w:hAnsi="Calibri" w:cs="Calibri"/>
        </w:rPr>
        <w:t>Center Equity</w:t>
      </w:r>
      <w:r w:rsidRPr="00537C64">
        <w:rPr>
          <w:rFonts w:ascii="Calibri" w:hAnsi="Calibri" w:cs="Calibri"/>
        </w:rPr>
        <w:t xml:space="preserve"> in your plans:</w:t>
      </w:r>
    </w:p>
    <w:p w14:paraId="4ADC945C" w14:textId="77777777" w:rsidR="001D3987" w:rsidRPr="00537C64" w:rsidRDefault="001D3987" w:rsidP="001D3987">
      <w:pPr>
        <w:spacing w:line="240" w:lineRule="auto"/>
        <w:rPr>
          <w:rFonts w:ascii="Calibri" w:hAnsi="Calibri" w:cs="Calibri"/>
          <w:b/>
          <w:bCs/>
        </w:rPr>
      </w:pPr>
    </w:p>
    <w:p w14:paraId="0B345821" w14:textId="77777777" w:rsidR="001D3987" w:rsidRPr="005C326F" w:rsidRDefault="00455628" w:rsidP="001D3987">
      <w:pPr>
        <w:spacing w:line="240" w:lineRule="auto"/>
        <w:ind w:left="360"/>
        <w:rPr>
          <w:rFonts w:ascii="Calibri" w:hAnsi="Calibri" w:cs="Calibri"/>
        </w:rPr>
      </w:pPr>
      <w:hyperlink r:id="rId11" w:history="1">
        <w:r w:rsidR="001D3987" w:rsidRPr="005C326F">
          <w:rPr>
            <w:rStyle w:val="Hyperlink"/>
            <w:rFonts w:ascii="Calibri" w:hAnsi="Calibri" w:cs="Calibri"/>
            <w:b/>
            <w:bCs/>
            <w:color w:val="0070C0"/>
          </w:rPr>
          <w:t>Leveraging ARP Funds to Build Equitable Learning Environments</w:t>
        </w:r>
      </w:hyperlink>
      <w:r w:rsidR="001D3987" w:rsidRPr="005C326F">
        <w:rPr>
          <w:rFonts w:ascii="Calibri" w:hAnsi="Calibri" w:cs="Calibri"/>
          <w:b/>
          <w:bCs/>
        </w:rPr>
        <w:t xml:space="preserve"> </w:t>
      </w:r>
      <w:r w:rsidR="001D3987" w:rsidRPr="005C326F">
        <w:rPr>
          <w:rFonts w:ascii="Calibri" w:hAnsi="Calibri" w:cs="Calibri"/>
        </w:rPr>
        <w:t>(BELE Network) – Each of BELE’s seven essential actions provide the foundation for equitable spaces through ARP funds.</w:t>
      </w:r>
    </w:p>
    <w:p w14:paraId="7225A122" w14:textId="77777777" w:rsidR="001D3987" w:rsidRPr="005C326F" w:rsidRDefault="001D3987" w:rsidP="001D3987">
      <w:pPr>
        <w:spacing w:line="240" w:lineRule="auto"/>
        <w:ind w:left="360"/>
        <w:rPr>
          <w:rFonts w:ascii="Calibri" w:hAnsi="Calibri" w:cs="Calibri"/>
        </w:rPr>
      </w:pPr>
    </w:p>
    <w:p w14:paraId="28A38991" w14:textId="77777777" w:rsidR="001D3987" w:rsidRPr="005C326F" w:rsidRDefault="00455628" w:rsidP="001D3987">
      <w:pPr>
        <w:spacing w:line="240" w:lineRule="auto"/>
        <w:ind w:left="360"/>
        <w:rPr>
          <w:rFonts w:ascii="Calibri" w:hAnsi="Calibri" w:cs="Calibri"/>
        </w:rPr>
      </w:pPr>
      <w:hyperlink r:id="rId12" w:history="1">
        <w:r w:rsidR="001D3987" w:rsidRPr="005C326F">
          <w:rPr>
            <w:rStyle w:val="Hyperlink"/>
            <w:rFonts w:ascii="Calibri" w:hAnsi="Calibri" w:cs="Calibri"/>
            <w:b/>
            <w:bCs/>
            <w:color w:val="0070C0"/>
          </w:rPr>
          <w:t>Using ARP Funds to Redesign Schools for Whole Child Equity</w:t>
        </w:r>
      </w:hyperlink>
      <w:r w:rsidR="001D3987" w:rsidRPr="005C326F">
        <w:rPr>
          <w:rFonts w:ascii="Calibri" w:hAnsi="Calibri" w:cs="Calibri"/>
        </w:rPr>
        <w:t xml:space="preserve"> (Science of Learning and Development Alliance) – This brief includes concrete recommendations for using ESSER funds to prioritize building equitable environments aligned with the science of learning and development.</w:t>
      </w:r>
    </w:p>
    <w:p w14:paraId="24E14F07" w14:textId="77777777" w:rsidR="001D3987" w:rsidRPr="005C326F" w:rsidRDefault="001D3987" w:rsidP="001D3987">
      <w:pPr>
        <w:spacing w:line="240" w:lineRule="auto"/>
        <w:ind w:left="360"/>
        <w:rPr>
          <w:rFonts w:ascii="Calibri" w:hAnsi="Calibri" w:cs="Calibri"/>
        </w:rPr>
      </w:pPr>
    </w:p>
    <w:p w14:paraId="72A180BA" w14:textId="427FF97B" w:rsidR="001D3987" w:rsidRDefault="00455628" w:rsidP="001D3987">
      <w:pPr>
        <w:spacing w:line="240" w:lineRule="auto"/>
        <w:ind w:left="360"/>
        <w:rPr>
          <w:rFonts w:ascii="Calibri" w:hAnsi="Calibri" w:cs="Calibri"/>
        </w:rPr>
      </w:pPr>
      <w:hyperlink r:id="rId13" w:history="1">
        <w:r w:rsidR="001D3987" w:rsidRPr="005C326F">
          <w:rPr>
            <w:rStyle w:val="Hyperlink"/>
            <w:rFonts w:ascii="Calibri" w:hAnsi="Calibri" w:cs="Calibri"/>
            <w:b/>
            <w:bCs/>
            <w:color w:val="0070C0"/>
          </w:rPr>
          <w:t>Districts Advancing Racial Equity (DARE) Tool</w:t>
        </w:r>
      </w:hyperlink>
      <w:r w:rsidR="001D3987" w:rsidRPr="005C326F">
        <w:rPr>
          <w:rFonts w:ascii="Calibri" w:hAnsi="Calibri" w:cs="Calibri"/>
        </w:rPr>
        <w:t xml:space="preserve"> (Learning Policy Institute, Racial Equity Leadership Network) – This rubric-style tool helps you conceptualize the systems changes that are necessary to make learning environments more equitable over time. </w:t>
      </w:r>
      <w:r w:rsidR="009713C1">
        <w:rPr>
          <w:rFonts w:ascii="Calibri" w:hAnsi="Calibri" w:cs="Calibri"/>
        </w:rPr>
        <w:t>[</w:t>
      </w:r>
      <w:r w:rsidR="001D3987" w:rsidRPr="005C326F">
        <w:rPr>
          <w:rFonts w:ascii="Calibri" w:hAnsi="Calibri" w:cs="Calibri"/>
        </w:rPr>
        <w:t>NOTE: This is not ESSER-specific.</w:t>
      </w:r>
      <w:r w:rsidR="009713C1">
        <w:rPr>
          <w:rFonts w:ascii="Calibri" w:hAnsi="Calibri" w:cs="Calibri"/>
        </w:rPr>
        <w:t>]</w:t>
      </w:r>
    </w:p>
    <w:p w14:paraId="6EB5E001" w14:textId="3E4D0162" w:rsidR="00F93298" w:rsidRDefault="00F93298" w:rsidP="001D3987">
      <w:pPr>
        <w:spacing w:line="240" w:lineRule="auto"/>
        <w:ind w:left="360"/>
        <w:rPr>
          <w:rFonts w:ascii="Calibri" w:hAnsi="Calibri" w:cs="Calibri"/>
        </w:rPr>
      </w:pPr>
    </w:p>
    <w:p w14:paraId="2B3AD5A9" w14:textId="373125BE" w:rsidR="00F93298" w:rsidRPr="00095A9A" w:rsidRDefault="00455628" w:rsidP="001D3987">
      <w:pPr>
        <w:spacing w:line="240" w:lineRule="auto"/>
        <w:ind w:left="360"/>
        <w:rPr>
          <w:rFonts w:ascii="Calibri" w:hAnsi="Calibri" w:cs="Calibri"/>
        </w:rPr>
      </w:pPr>
      <w:hyperlink r:id="rId14" w:history="1">
        <w:r w:rsidR="00F93298" w:rsidRPr="00F93298">
          <w:rPr>
            <w:rStyle w:val="Hyperlink"/>
            <w:rFonts w:ascii="Calibri" w:hAnsi="Calibri" w:cs="Calibri"/>
            <w:b/>
            <w:bCs/>
            <w:color w:val="0070C0"/>
          </w:rPr>
          <w:t>Toolbox</w:t>
        </w:r>
      </w:hyperlink>
      <w:r w:rsidR="00F93298">
        <w:rPr>
          <w:rFonts w:ascii="Calibri" w:hAnsi="Calibri" w:cs="Calibri"/>
        </w:rPr>
        <w:t xml:space="preserve"> (Turnaround for Children) – This website includes an array of science- and equity-driven tools for whole-child school redesign including core practices, measurement tools, tiered systems of support, and a summary of the science behind the Toolbox. </w:t>
      </w:r>
      <w:r w:rsidR="009713C1">
        <w:rPr>
          <w:rFonts w:ascii="Calibri" w:hAnsi="Calibri" w:cs="Calibri"/>
        </w:rPr>
        <w:t>[</w:t>
      </w:r>
      <w:r w:rsidR="00F93298">
        <w:rPr>
          <w:rFonts w:ascii="Calibri" w:hAnsi="Calibri" w:cs="Calibri"/>
        </w:rPr>
        <w:t>NOTE: This is not ESSER-specific.</w:t>
      </w:r>
      <w:r w:rsidR="009713C1">
        <w:rPr>
          <w:rFonts w:ascii="Calibri" w:hAnsi="Calibri" w:cs="Calibri"/>
        </w:rPr>
        <w:t>]</w:t>
      </w:r>
    </w:p>
    <w:p w14:paraId="38D460D3" w14:textId="77777777" w:rsidR="001D3987" w:rsidRPr="00003C6A" w:rsidRDefault="001D3987" w:rsidP="001D3987">
      <w:pPr>
        <w:spacing w:line="240" w:lineRule="auto"/>
        <w:rPr>
          <w:rFonts w:ascii="Calibri" w:hAnsi="Calibri" w:cs="Calibri"/>
          <w:b/>
          <w:bCs/>
          <w:sz w:val="18"/>
          <w:szCs w:val="18"/>
        </w:rPr>
      </w:pPr>
    </w:p>
    <w:p w14:paraId="46933EDE" w14:textId="77777777" w:rsidR="001D3987" w:rsidRDefault="001D3987" w:rsidP="001D3987">
      <w:pPr>
        <w:rPr>
          <w:rFonts w:ascii="Calibri" w:hAnsi="Calibri" w:cs="Calibri"/>
        </w:rPr>
      </w:pPr>
    </w:p>
    <w:p w14:paraId="19DF97AD" w14:textId="77777777" w:rsidR="001D3987" w:rsidRPr="00DF14CF" w:rsidRDefault="001D3987" w:rsidP="001D3987">
      <w:pPr>
        <w:spacing w:line="240" w:lineRule="auto"/>
        <w:rPr>
          <w:rFonts w:ascii="Calibri" w:hAnsi="Calibri" w:cs="Calibri"/>
          <w:b/>
          <w:bCs/>
          <w:sz w:val="24"/>
          <w:szCs w:val="24"/>
        </w:rPr>
      </w:pPr>
      <w:r w:rsidRPr="00DF14CF">
        <w:rPr>
          <w:rFonts w:ascii="Calibri" w:hAnsi="Calibri" w:cs="Calibri"/>
          <w:b/>
          <w:bCs/>
          <w:sz w:val="24"/>
          <w:szCs w:val="24"/>
        </w:rPr>
        <w:t>What will you do differently now?</w:t>
      </w:r>
    </w:p>
    <w:p w14:paraId="31CA9733" w14:textId="77777777" w:rsidR="001D3987" w:rsidRDefault="001D3987" w:rsidP="001D3987">
      <w:pPr>
        <w:spacing w:line="240" w:lineRule="auto"/>
        <w:rPr>
          <w:rFonts w:ascii="Calibri" w:hAnsi="Calibri" w:cs="Calibri"/>
        </w:rPr>
      </w:pPr>
      <w:r w:rsidRPr="0057517A">
        <w:rPr>
          <w:rFonts w:ascii="Calibri" w:hAnsi="Calibri" w:cs="Calibri"/>
        </w:rPr>
        <w:t>After reviewing your plan</w:t>
      </w:r>
      <w:r>
        <w:rPr>
          <w:rFonts w:ascii="Calibri" w:hAnsi="Calibri" w:cs="Calibri"/>
        </w:rPr>
        <w:t>s</w:t>
      </w:r>
      <w:r w:rsidRPr="0057517A">
        <w:rPr>
          <w:rFonts w:ascii="Calibri" w:hAnsi="Calibri" w:cs="Calibri"/>
        </w:rPr>
        <w:t xml:space="preserve"> and </w:t>
      </w:r>
      <w:r>
        <w:rPr>
          <w:rFonts w:ascii="Calibri" w:hAnsi="Calibri" w:cs="Calibri"/>
        </w:rPr>
        <w:t>your responses to this Self-Assessment, what changes will you make to better apply this Guiding Principle? Use the table below</w:t>
      </w:r>
      <w:r w:rsidRPr="0057517A">
        <w:rPr>
          <w:rFonts w:ascii="Calibri" w:hAnsi="Calibri" w:cs="Calibri"/>
        </w:rPr>
        <w:t xml:space="preserve"> </w:t>
      </w:r>
      <w:r>
        <w:rPr>
          <w:rFonts w:ascii="Calibri" w:hAnsi="Calibri" w:cs="Calibri"/>
        </w:rPr>
        <w:t>to identify your team’s next steps, responsible team member(s), deadlines, and resources needed to succeed.</w:t>
      </w:r>
    </w:p>
    <w:p w14:paraId="441740B7" w14:textId="77777777" w:rsidR="001D3987" w:rsidRPr="0057517A" w:rsidRDefault="001D3987" w:rsidP="001D3987">
      <w:pPr>
        <w:rPr>
          <w:rFonts w:ascii="Calibri" w:hAnsi="Calibri" w:cs="Calibri"/>
        </w:rPr>
      </w:pPr>
    </w:p>
    <w:tbl>
      <w:tblPr>
        <w:tblStyle w:val="TableGrid"/>
        <w:tblW w:w="9377" w:type="dxa"/>
        <w:tblLook w:val="04A0" w:firstRow="1" w:lastRow="0" w:firstColumn="1" w:lastColumn="0" w:noHBand="0" w:noVBand="1"/>
      </w:tblPr>
      <w:tblGrid>
        <w:gridCol w:w="4135"/>
        <w:gridCol w:w="1350"/>
        <w:gridCol w:w="1170"/>
        <w:gridCol w:w="2722"/>
      </w:tblGrid>
      <w:tr w:rsidR="001D3987" w14:paraId="1D12BCD0" w14:textId="77777777" w:rsidTr="00F175B7">
        <w:trPr>
          <w:trHeight w:val="391"/>
        </w:trPr>
        <w:tc>
          <w:tcPr>
            <w:tcW w:w="4135" w:type="dxa"/>
            <w:shd w:val="clear" w:color="auto" w:fill="F2F2F2" w:themeFill="background1" w:themeFillShade="F2"/>
            <w:vAlign w:val="center"/>
          </w:tcPr>
          <w:p w14:paraId="4B1A875E" w14:textId="77777777" w:rsidR="001D3987" w:rsidRPr="005A088E" w:rsidRDefault="001D3987" w:rsidP="00F175B7">
            <w:pPr>
              <w:rPr>
                <w:rFonts w:ascii="Calibri" w:hAnsi="Calibri" w:cs="Calibri"/>
                <w:b/>
                <w:bCs/>
              </w:rPr>
            </w:pPr>
            <w:r w:rsidRPr="005A088E">
              <w:rPr>
                <w:rFonts w:ascii="Calibri" w:hAnsi="Calibri" w:cs="Calibri"/>
                <w:b/>
                <w:bCs/>
              </w:rPr>
              <w:t>Action Item</w:t>
            </w:r>
          </w:p>
        </w:tc>
        <w:tc>
          <w:tcPr>
            <w:tcW w:w="1350" w:type="dxa"/>
            <w:shd w:val="clear" w:color="auto" w:fill="F2F2F2" w:themeFill="background1" w:themeFillShade="F2"/>
            <w:vAlign w:val="center"/>
          </w:tcPr>
          <w:p w14:paraId="53C807A6" w14:textId="77777777" w:rsidR="001D3987" w:rsidRPr="005A088E" w:rsidRDefault="001D3987" w:rsidP="00F175B7">
            <w:pPr>
              <w:rPr>
                <w:rFonts w:ascii="Calibri" w:hAnsi="Calibri" w:cs="Calibri"/>
                <w:b/>
                <w:bCs/>
              </w:rPr>
            </w:pPr>
            <w:r>
              <w:rPr>
                <w:rFonts w:ascii="Calibri" w:hAnsi="Calibri" w:cs="Calibri"/>
                <w:b/>
                <w:bCs/>
              </w:rPr>
              <w:t>Owner</w:t>
            </w:r>
          </w:p>
        </w:tc>
        <w:tc>
          <w:tcPr>
            <w:tcW w:w="1170" w:type="dxa"/>
            <w:shd w:val="clear" w:color="auto" w:fill="F2F2F2" w:themeFill="background1" w:themeFillShade="F2"/>
            <w:vAlign w:val="center"/>
          </w:tcPr>
          <w:p w14:paraId="3BDA57BA" w14:textId="77777777" w:rsidR="001D3987" w:rsidRPr="005A088E" w:rsidRDefault="001D3987" w:rsidP="00F175B7">
            <w:pPr>
              <w:rPr>
                <w:rFonts w:ascii="Calibri" w:hAnsi="Calibri" w:cs="Calibri"/>
                <w:b/>
                <w:bCs/>
              </w:rPr>
            </w:pPr>
            <w:r>
              <w:rPr>
                <w:rFonts w:ascii="Calibri" w:hAnsi="Calibri" w:cs="Calibri"/>
                <w:b/>
                <w:bCs/>
              </w:rPr>
              <w:t>Deadline</w:t>
            </w:r>
          </w:p>
        </w:tc>
        <w:tc>
          <w:tcPr>
            <w:tcW w:w="2722" w:type="dxa"/>
            <w:shd w:val="clear" w:color="auto" w:fill="F2F2F2" w:themeFill="background1" w:themeFillShade="F2"/>
            <w:vAlign w:val="center"/>
          </w:tcPr>
          <w:p w14:paraId="42644E0A" w14:textId="77777777" w:rsidR="001D3987" w:rsidRPr="005A088E" w:rsidRDefault="001D3987" w:rsidP="00F175B7">
            <w:pPr>
              <w:rPr>
                <w:rFonts w:ascii="Calibri" w:hAnsi="Calibri" w:cs="Calibri"/>
                <w:b/>
                <w:bCs/>
              </w:rPr>
            </w:pPr>
            <w:r>
              <w:rPr>
                <w:rFonts w:ascii="Calibri" w:hAnsi="Calibri" w:cs="Calibri"/>
                <w:b/>
                <w:bCs/>
              </w:rPr>
              <w:t>Resources Needed</w:t>
            </w:r>
          </w:p>
        </w:tc>
      </w:tr>
      <w:tr w:rsidR="001D3987" w14:paraId="43243343" w14:textId="77777777" w:rsidTr="00F175B7">
        <w:trPr>
          <w:trHeight w:val="412"/>
        </w:trPr>
        <w:tc>
          <w:tcPr>
            <w:tcW w:w="4135" w:type="dxa"/>
          </w:tcPr>
          <w:p w14:paraId="72E22F9B" w14:textId="77777777" w:rsidR="001D3987" w:rsidRPr="00607EA4" w:rsidRDefault="001D3987" w:rsidP="00F175B7">
            <w:pPr>
              <w:rPr>
                <w:rFonts w:ascii="Calibri" w:hAnsi="Calibri" w:cs="Calibri"/>
              </w:rPr>
            </w:pPr>
          </w:p>
        </w:tc>
        <w:tc>
          <w:tcPr>
            <w:tcW w:w="1350" w:type="dxa"/>
          </w:tcPr>
          <w:p w14:paraId="6A49486A" w14:textId="77777777" w:rsidR="001D3987" w:rsidRPr="00607EA4" w:rsidRDefault="001D3987" w:rsidP="00F175B7">
            <w:pPr>
              <w:rPr>
                <w:rFonts w:ascii="Calibri" w:hAnsi="Calibri" w:cs="Calibri"/>
              </w:rPr>
            </w:pPr>
          </w:p>
        </w:tc>
        <w:tc>
          <w:tcPr>
            <w:tcW w:w="1170" w:type="dxa"/>
          </w:tcPr>
          <w:p w14:paraId="186BF522" w14:textId="77777777" w:rsidR="001D3987" w:rsidRPr="00607EA4" w:rsidRDefault="001D3987" w:rsidP="00F175B7">
            <w:pPr>
              <w:rPr>
                <w:rFonts w:ascii="Calibri" w:hAnsi="Calibri" w:cs="Calibri"/>
              </w:rPr>
            </w:pPr>
          </w:p>
        </w:tc>
        <w:tc>
          <w:tcPr>
            <w:tcW w:w="2722" w:type="dxa"/>
          </w:tcPr>
          <w:p w14:paraId="00A7DF0A" w14:textId="77777777" w:rsidR="001D3987" w:rsidRPr="00607EA4" w:rsidRDefault="001D3987" w:rsidP="00F175B7">
            <w:pPr>
              <w:rPr>
                <w:rFonts w:ascii="Calibri" w:hAnsi="Calibri" w:cs="Calibri"/>
              </w:rPr>
            </w:pPr>
          </w:p>
        </w:tc>
      </w:tr>
      <w:tr w:rsidR="001D3987" w14:paraId="3A149D81" w14:textId="77777777" w:rsidTr="00F175B7">
        <w:trPr>
          <w:trHeight w:val="391"/>
        </w:trPr>
        <w:tc>
          <w:tcPr>
            <w:tcW w:w="4135" w:type="dxa"/>
          </w:tcPr>
          <w:p w14:paraId="5ECF66C2" w14:textId="77777777" w:rsidR="001D3987" w:rsidRPr="00607EA4" w:rsidRDefault="001D3987" w:rsidP="00F175B7">
            <w:pPr>
              <w:rPr>
                <w:rFonts w:ascii="Calibri" w:hAnsi="Calibri" w:cs="Calibri"/>
              </w:rPr>
            </w:pPr>
          </w:p>
        </w:tc>
        <w:tc>
          <w:tcPr>
            <w:tcW w:w="1350" w:type="dxa"/>
          </w:tcPr>
          <w:p w14:paraId="55A6087A" w14:textId="77777777" w:rsidR="001D3987" w:rsidRPr="00607EA4" w:rsidRDefault="001D3987" w:rsidP="00F175B7">
            <w:pPr>
              <w:rPr>
                <w:rFonts w:ascii="Calibri" w:hAnsi="Calibri" w:cs="Calibri"/>
              </w:rPr>
            </w:pPr>
          </w:p>
        </w:tc>
        <w:tc>
          <w:tcPr>
            <w:tcW w:w="1170" w:type="dxa"/>
          </w:tcPr>
          <w:p w14:paraId="5DA00EA7" w14:textId="77777777" w:rsidR="001D3987" w:rsidRPr="00607EA4" w:rsidRDefault="001D3987" w:rsidP="00F175B7">
            <w:pPr>
              <w:rPr>
                <w:rFonts w:ascii="Calibri" w:hAnsi="Calibri" w:cs="Calibri"/>
              </w:rPr>
            </w:pPr>
          </w:p>
        </w:tc>
        <w:tc>
          <w:tcPr>
            <w:tcW w:w="2722" w:type="dxa"/>
          </w:tcPr>
          <w:p w14:paraId="605F10CE" w14:textId="77777777" w:rsidR="001D3987" w:rsidRPr="00607EA4" w:rsidRDefault="001D3987" w:rsidP="00F175B7">
            <w:pPr>
              <w:rPr>
                <w:rFonts w:ascii="Calibri" w:hAnsi="Calibri" w:cs="Calibri"/>
              </w:rPr>
            </w:pPr>
          </w:p>
        </w:tc>
      </w:tr>
      <w:tr w:rsidR="001D3987" w14:paraId="28603128" w14:textId="77777777" w:rsidTr="00F175B7">
        <w:trPr>
          <w:trHeight w:val="412"/>
        </w:trPr>
        <w:tc>
          <w:tcPr>
            <w:tcW w:w="4135" w:type="dxa"/>
          </w:tcPr>
          <w:p w14:paraId="43EB4291" w14:textId="77777777" w:rsidR="001D3987" w:rsidRPr="00607EA4" w:rsidRDefault="001D3987" w:rsidP="00F175B7">
            <w:pPr>
              <w:rPr>
                <w:rFonts w:ascii="Calibri" w:hAnsi="Calibri" w:cs="Calibri"/>
              </w:rPr>
            </w:pPr>
          </w:p>
        </w:tc>
        <w:tc>
          <w:tcPr>
            <w:tcW w:w="1350" w:type="dxa"/>
          </w:tcPr>
          <w:p w14:paraId="33659350" w14:textId="77777777" w:rsidR="001D3987" w:rsidRPr="00607EA4" w:rsidRDefault="001D3987" w:rsidP="00F175B7">
            <w:pPr>
              <w:rPr>
                <w:rFonts w:ascii="Calibri" w:hAnsi="Calibri" w:cs="Calibri"/>
              </w:rPr>
            </w:pPr>
          </w:p>
        </w:tc>
        <w:tc>
          <w:tcPr>
            <w:tcW w:w="1170" w:type="dxa"/>
          </w:tcPr>
          <w:p w14:paraId="5AD12759" w14:textId="77777777" w:rsidR="001D3987" w:rsidRPr="00607EA4" w:rsidRDefault="001D3987" w:rsidP="00F175B7">
            <w:pPr>
              <w:rPr>
                <w:rFonts w:ascii="Calibri" w:hAnsi="Calibri" w:cs="Calibri"/>
              </w:rPr>
            </w:pPr>
          </w:p>
        </w:tc>
        <w:tc>
          <w:tcPr>
            <w:tcW w:w="2722" w:type="dxa"/>
          </w:tcPr>
          <w:p w14:paraId="24DF5F85" w14:textId="77777777" w:rsidR="001D3987" w:rsidRPr="00607EA4" w:rsidRDefault="001D3987" w:rsidP="00F175B7">
            <w:pPr>
              <w:rPr>
                <w:rFonts w:ascii="Calibri" w:hAnsi="Calibri" w:cs="Calibri"/>
              </w:rPr>
            </w:pPr>
          </w:p>
        </w:tc>
      </w:tr>
    </w:tbl>
    <w:p w14:paraId="0D4A9C15" w14:textId="77777777" w:rsidR="001D3987" w:rsidRPr="00003C6A" w:rsidRDefault="001D3987" w:rsidP="001D3987">
      <w:pPr>
        <w:rPr>
          <w:rFonts w:ascii="Calibri" w:hAnsi="Calibri" w:cs="Calibri"/>
        </w:rPr>
      </w:pPr>
    </w:p>
    <w:sectPr w:rsidR="001D3987" w:rsidRPr="00003C6A" w:rsidSect="00654A24">
      <w:headerReference w:type="default" r:id="rId15"/>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A1608" w14:textId="77777777" w:rsidR="00455628" w:rsidRDefault="00455628" w:rsidP="00190E40">
      <w:pPr>
        <w:spacing w:line="240" w:lineRule="auto"/>
      </w:pPr>
      <w:r>
        <w:separator/>
      </w:r>
    </w:p>
  </w:endnote>
  <w:endnote w:type="continuationSeparator" w:id="0">
    <w:p w14:paraId="2A29BF16" w14:textId="77777777" w:rsidR="00455628" w:rsidRDefault="00455628" w:rsidP="00190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305387326"/>
      <w:docPartObj>
        <w:docPartGallery w:val="Page Numbers (Bottom of Page)"/>
        <w:docPartUnique/>
      </w:docPartObj>
    </w:sdtPr>
    <w:sdtEndPr>
      <w:rPr>
        <w:noProof/>
        <w:sz w:val="22"/>
        <w:szCs w:val="22"/>
      </w:rPr>
    </w:sdtEndPr>
    <w:sdtContent>
      <w:p w14:paraId="7350F85E" w14:textId="00054764" w:rsidR="005D7489" w:rsidRDefault="005D7489" w:rsidP="0002663A">
        <w:pPr>
          <w:pStyle w:val="Footer"/>
          <w:jc w:val="right"/>
        </w:pPr>
        <w:r w:rsidRPr="0002663A">
          <w:rPr>
            <w:rFonts w:ascii="Calibri" w:hAnsi="Calibri" w:cs="Calibri"/>
            <w:sz w:val="20"/>
            <w:szCs w:val="20"/>
          </w:rPr>
          <w:fldChar w:fldCharType="begin"/>
        </w:r>
        <w:r w:rsidRPr="0002663A">
          <w:rPr>
            <w:rFonts w:ascii="Calibri" w:hAnsi="Calibri" w:cs="Calibri"/>
            <w:sz w:val="20"/>
            <w:szCs w:val="20"/>
          </w:rPr>
          <w:instrText xml:space="preserve"> PAGE   \* MERGEFORMAT </w:instrText>
        </w:r>
        <w:r w:rsidRPr="0002663A">
          <w:rPr>
            <w:rFonts w:ascii="Calibri" w:hAnsi="Calibri" w:cs="Calibri"/>
            <w:sz w:val="20"/>
            <w:szCs w:val="20"/>
          </w:rPr>
          <w:fldChar w:fldCharType="separate"/>
        </w:r>
        <w:r w:rsidRPr="0002663A">
          <w:rPr>
            <w:rFonts w:ascii="Calibri" w:hAnsi="Calibri" w:cs="Calibri"/>
            <w:noProof/>
            <w:sz w:val="20"/>
            <w:szCs w:val="20"/>
          </w:rPr>
          <w:t>1</w:t>
        </w:r>
        <w:r w:rsidRPr="0002663A">
          <w:rPr>
            <w:rFonts w:ascii="Calibri" w:hAnsi="Calibri" w:cs="Calibri"/>
            <w:noProof/>
            <w:sz w:val="20"/>
            <w:szCs w:val="20"/>
          </w:rPr>
          <w:fldChar w:fldCharType="end"/>
        </w:r>
      </w:p>
    </w:sdtContent>
  </w:sdt>
  <w:p w14:paraId="5E8A39CF" w14:textId="77777777" w:rsidR="005D7489" w:rsidRDefault="005D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A4DC" w14:textId="77777777" w:rsidR="00455628" w:rsidRDefault="00455628" w:rsidP="00190E40">
      <w:pPr>
        <w:spacing w:line="240" w:lineRule="auto"/>
      </w:pPr>
      <w:r>
        <w:separator/>
      </w:r>
    </w:p>
  </w:footnote>
  <w:footnote w:type="continuationSeparator" w:id="0">
    <w:p w14:paraId="5DEAF68A" w14:textId="77777777" w:rsidR="00455628" w:rsidRDefault="00455628" w:rsidP="00190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52F9" w14:textId="7ACC0A15" w:rsidR="005D7489" w:rsidRPr="00C56208" w:rsidRDefault="005D7489" w:rsidP="0002663A">
    <w:pPr>
      <w:pStyle w:val="CommentText"/>
      <w:rPr>
        <w:rFonts w:ascii="Calibri" w:hAnsi="Calibri" w:cs="Calibri"/>
      </w:rPr>
    </w:pPr>
    <w:r w:rsidRPr="00C56208">
      <w:rPr>
        <w:rFonts w:ascii="Calibri" w:hAnsi="Calibri" w:cs="Calibri"/>
      </w:rPr>
      <w:t xml:space="preserve">AASA Learning Recovery &amp; Redesign Self-Assessment Tool </w:t>
    </w:r>
    <w:r>
      <w:rPr>
        <w:rFonts w:ascii="Calibri" w:hAnsi="Calibri" w:cs="Calibri"/>
      </w:rPr>
      <w:t xml:space="preserve">I: Guiding Principles Self-Assessment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AD95" w14:textId="77777777" w:rsidR="00654A24" w:rsidRDefault="00654A24" w:rsidP="00654A24">
    <w:pPr>
      <w:pStyle w:val="Header"/>
    </w:pPr>
    <w:bookmarkStart w:id="1" w:name="_4cfz83lm5yq" w:colFirst="0" w:colLast="0"/>
    <w:bookmarkEnd w:id="1"/>
    <w:r>
      <w:rPr>
        <w:noProof/>
      </w:rPr>
      <w:drawing>
        <wp:inline distT="0" distB="0" distL="0" distR="0" wp14:anchorId="04F5F357" wp14:editId="6A850BA6">
          <wp:extent cx="793695" cy="295275"/>
          <wp:effectExtent l="0" t="0" r="6985" b="0"/>
          <wp:docPr id="5" name="Picture 4">
            <a:extLst xmlns:a="http://schemas.openxmlformats.org/drawingml/2006/main">
              <a:ext uri="{FF2B5EF4-FFF2-40B4-BE49-F238E27FC236}">
                <a16:creationId xmlns:a16="http://schemas.microsoft.com/office/drawing/2014/main" id="{41B6B2FF-6996-4E59-B121-5124DE707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1B6B2FF-6996-4E59-B121-5124DE707132}"/>
                      </a:ext>
                    </a:extLst>
                  </pic:cNvPr>
                  <pic:cNvPicPr>
                    <a:picLocks noChangeAspect="1"/>
                  </pic:cNvPicPr>
                </pic:nvPicPr>
                <pic:blipFill>
                  <a:blip r:embed="rId1"/>
                  <a:srcRect/>
                  <a:stretch>
                    <a:fillRect/>
                  </a:stretch>
                </pic:blipFill>
                <pic:spPr bwMode="auto">
                  <a:xfrm>
                    <a:off x="0" y="0"/>
                    <a:ext cx="802800" cy="298662"/>
                  </a:xfrm>
                  <a:prstGeom prst="rect">
                    <a:avLst/>
                  </a:prstGeom>
                  <a:noFill/>
                  <a:ln w="9525">
                    <a:noFill/>
                    <a:miter lim="800000"/>
                    <a:headEnd/>
                    <a:tailEnd/>
                  </a:ln>
                </pic:spPr>
              </pic:pic>
            </a:graphicData>
          </a:graphic>
        </wp:inline>
      </w:drawing>
    </w:r>
    <w:r>
      <w:tab/>
    </w:r>
    <w:r>
      <w:tab/>
    </w:r>
    <w:r>
      <w:rPr>
        <w:noProof/>
      </w:rPr>
      <w:drawing>
        <wp:inline distT="0" distB="0" distL="0" distR="0" wp14:anchorId="0D1CBE3E" wp14:editId="22BB0952">
          <wp:extent cx="1290750" cy="204020"/>
          <wp:effectExtent l="0" t="0" r="5080" b="5715"/>
          <wp:docPr id="7" name="Picture 6">
            <a:extLst xmlns:a="http://schemas.openxmlformats.org/drawingml/2006/main">
              <a:ext uri="{FF2B5EF4-FFF2-40B4-BE49-F238E27FC236}">
                <a16:creationId xmlns:a16="http://schemas.microsoft.com/office/drawing/2014/main" id="{0636D769-1FFA-4BEB-AD7A-0948F82201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636D769-1FFA-4BEB-AD7A-0948F822014A}"/>
                      </a:ext>
                    </a:extLst>
                  </pic:cNvPr>
                  <pic:cNvPicPr>
                    <a:picLocks noChangeAspect="1"/>
                  </pic:cNvPicPr>
                </pic:nvPicPr>
                <pic:blipFill>
                  <a:blip r:embed="rId2"/>
                  <a:stretch>
                    <a:fillRect/>
                  </a:stretch>
                </pic:blipFill>
                <pic:spPr>
                  <a:xfrm>
                    <a:off x="0" y="0"/>
                    <a:ext cx="1306328" cy="206482"/>
                  </a:xfrm>
                  <a:prstGeom prst="rect">
                    <a:avLst/>
                  </a:prstGeom>
                </pic:spPr>
              </pic:pic>
            </a:graphicData>
          </a:graphic>
        </wp:inline>
      </w:drawing>
    </w:r>
  </w:p>
  <w:p w14:paraId="494A807C" w14:textId="77777777" w:rsidR="00654A24" w:rsidRDefault="00654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6032"/>
    <w:multiLevelType w:val="hybridMultilevel"/>
    <w:tmpl w:val="2F12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B6F56"/>
    <w:multiLevelType w:val="hybridMultilevel"/>
    <w:tmpl w:val="F478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12E72"/>
    <w:multiLevelType w:val="hybridMultilevel"/>
    <w:tmpl w:val="30F6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1D1C"/>
    <w:multiLevelType w:val="hybridMultilevel"/>
    <w:tmpl w:val="BB30B9B2"/>
    <w:lvl w:ilvl="0" w:tplc="C7406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976DA"/>
    <w:multiLevelType w:val="hybridMultilevel"/>
    <w:tmpl w:val="B0BE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538A0"/>
    <w:multiLevelType w:val="hybridMultilevel"/>
    <w:tmpl w:val="7CAE8514"/>
    <w:lvl w:ilvl="0" w:tplc="C7406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F175C"/>
    <w:multiLevelType w:val="hybridMultilevel"/>
    <w:tmpl w:val="963A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F4047"/>
    <w:multiLevelType w:val="hybridMultilevel"/>
    <w:tmpl w:val="6D18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F7390"/>
    <w:multiLevelType w:val="hybridMultilevel"/>
    <w:tmpl w:val="F3801C6C"/>
    <w:lvl w:ilvl="0" w:tplc="EF9AB0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CA"/>
    <w:rsid w:val="00003C6A"/>
    <w:rsid w:val="00006195"/>
    <w:rsid w:val="00011C77"/>
    <w:rsid w:val="000143C6"/>
    <w:rsid w:val="0002663A"/>
    <w:rsid w:val="0002722B"/>
    <w:rsid w:val="0005350E"/>
    <w:rsid w:val="00056F9E"/>
    <w:rsid w:val="00061B67"/>
    <w:rsid w:val="000655E0"/>
    <w:rsid w:val="000836BE"/>
    <w:rsid w:val="00084443"/>
    <w:rsid w:val="000871F2"/>
    <w:rsid w:val="00095A9A"/>
    <w:rsid w:val="000A54C7"/>
    <w:rsid w:val="000C3240"/>
    <w:rsid w:val="000F06EE"/>
    <w:rsid w:val="000F61D9"/>
    <w:rsid w:val="0012061E"/>
    <w:rsid w:val="00134FCC"/>
    <w:rsid w:val="0017371D"/>
    <w:rsid w:val="00190E40"/>
    <w:rsid w:val="001C34F2"/>
    <w:rsid w:val="001C73FE"/>
    <w:rsid w:val="001D3987"/>
    <w:rsid w:val="00223999"/>
    <w:rsid w:val="00236D8F"/>
    <w:rsid w:val="002508A4"/>
    <w:rsid w:val="00262DFB"/>
    <w:rsid w:val="002710CA"/>
    <w:rsid w:val="002970A3"/>
    <w:rsid w:val="00310647"/>
    <w:rsid w:val="00335FC8"/>
    <w:rsid w:val="00337191"/>
    <w:rsid w:val="00383E1F"/>
    <w:rsid w:val="003A3EDA"/>
    <w:rsid w:val="003A5ABD"/>
    <w:rsid w:val="003A6C75"/>
    <w:rsid w:val="003F7BA8"/>
    <w:rsid w:val="004041EC"/>
    <w:rsid w:val="00421434"/>
    <w:rsid w:val="00423E9C"/>
    <w:rsid w:val="00435014"/>
    <w:rsid w:val="00436038"/>
    <w:rsid w:val="00455628"/>
    <w:rsid w:val="00461F3B"/>
    <w:rsid w:val="004758CF"/>
    <w:rsid w:val="00484CCA"/>
    <w:rsid w:val="00487296"/>
    <w:rsid w:val="004A4DEF"/>
    <w:rsid w:val="004B45AC"/>
    <w:rsid w:val="004D204B"/>
    <w:rsid w:val="004D44AC"/>
    <w:rsid w:val="004F6A91"/>
    <w:rsid w:val="0050599A"/>
    <w:rsid w:val="00506616"/>
    <w:rsid w:val="00506A19"/>
    <w:rsid w:val="00510A98"/>
    <w:rsid w:val="00512E4B"/>
    <w:rsid w:val="00520610"/>
    <w:rsid w:val="00526627"/>
    <w:rsid w:val="00533B77"/>
    <w:rsid w:val="00534B85"/>
    <w:rsid w:val="0055468D"/>
    <w:rsid w:val="00560210"/>
    <w:rsid w:val="0057189A"/>
    <w:rsid w:val="0057517A"/>
    <w:rsid w:val="00585394"/>
    <w:rsid w:val="00594AC0"/>
    <w:rsid w:val="005A088E"/>
    <w:rsid w:val="005C5829"/>
    <w:rsid w:val="005D7489"/>
    <w:rsid w:val="005D7899"/>
    <w:rsid w:val="005F43CD"/>
    <w:rsid w:val="00607EA4"/>
    <w:rsid w:val="00612645"/>
    <w:rsid w:val="0062438A"/>
    <w:rsid w:val="0062609B"/>
    <w:rsid w:val="00627A1C"/>
    <w:rsid w:val="00654A24"/>
    <w:rsid w:val="00660FDF"/>
    <w:rsid w:val="006650B5"/>
    <w:rsid w:val="006C0467"/>
    <w:rsid w:val="00710B3B"/>
    <w:rsid w:val="0072293D"/>
    <w:rsid w:val="00737F89"/>
    <w:rsid w:val="00745596"/>
    <w:rsid w:val="00747DCF"/>
    <w:rsid w:val="007520CE"/>
    <w:rsid w:val="007642DB"/>
    <w:rsid w:val="0076763D"/>
    <w:rsid w:val="007833B8"/>
    <w:rsid w:val="00783607"/>
    <w:rsid w:val="007A42E0"/>
    <w:rsid w:val="007A6E22"/>
    <w:rsid w:val="007B6A16"/>
    <w:rsid w:val="007F0EC6"/>
    <w:rsid w:val="00801802"/>
    <w:rsid w:val="00801DF9"/>
    <w:rsid w:val="008210B5"/>
    <w:rsid w:val="0082591D"/>
    <w:rsid w:val="008279F2"/>
    <w:rsid w:val="00867B43"/>
    <w:rsid w:val="00885B3D"/>
    <w:rsid w:val="008A4C42"/>
    <w:rsid w:val="008A7C55"/>
    <w:rsid w:val="008B40E0"/>
    <w:rsid w:val="008C33A3"/>
    <w:rsid w:val="008E77E8"/>
    <w:rsid w:val="008F0D3B"/>
    <w:rsid w:val="008F428D"/>
    <w:rsid w:val="00902842"/>
    <w:rsid w:val="00903F1A"/>
    <w:rsid w:val="0090759F"/>
    <w:rsid w:val="00907FE2"/>
    <w:rsid w:val="00930210"/>
    <w:rsid w:val="009403C8"/>
    <w:rsid w:val="00957638"/>
    <w:rsid w:val="009713C1"/>
    <w:rsid w:val="009B5A5D"/>
    <w:rsid w:val="009C0949"/>
    <w:rsid w:val="009D0DE6"/>
    <w:rsid w:val="009E52D4"/>
    <w:rsid w:val="00A173D5"/>
    <w:rsid w:val="00A2710C"/>
    <w:rsid w:val="00A45FAE"/>
    <w:rsid w:val="00A766DE"/>
    <w:rsid w:val="00A775B1"/>
    <w:rsid w:val="00A83C2A"/>
    <w:rsid w:val="00AA4D7F"/>
    <w:rsid w:val="00AB7F59"/>
    <w:rsid w:val="00AC0F07"/>
    <w:rsid w:val="00AC3B4C"/>
    <w:rsid w:val="00AD6178"/>
    <w:rsid w:val="00AF2B00"/>
    <w:rsid w:val="00B03E94"/>
    <w:rsid w:val="00B150BC"/>
    <w:rsid w:val="00B225A6"/>
    <w:rsid w:val="00B25F56"/>
    <w:rsid w:val="00B323BA"/>
    <w:rsid w:val="00B55374"/>
    <w:rsid w:val="00B603C4"/>
    <w:rsid w:val="00B71371"/>
    <w:rsid w:val="00B814BA"/>
    <w:rsid w:val="00BA4731"/>
    <w:rsid w:val="00BB4AF9"/>
    <w:rsid w:val="00BE044F"/>
    <w:rsid w:val="00BE6350"/>
    <w:rsid w:val="00BE704C"/>
    <w:rsid w:val="00BF1777"/>
    <w:rsid w:val="00C067C7"/>
    <w:rsid w:val="00C21364"/>
    <w:rsid w:val="00C21875"/>
    <w:rsid w:val="00C3026D"/>
    <w:rsid w:val="00C448EC"/>
    <w:rsid w:val="00C5562C"/>
    <w:rsid w:val="00C56208"/>
    <w:rsid w:val="00C62021"/>
    <w:rsid w:val="00CA3EBD"/>
    <w:rsid w:val="00CB42A2"/>
    <w:rsid w:val="00CB656B"/>
    <w:rsid w:val="00CC686C"/>
    <w:rsid w:val="00CC68E1"/>
    <w:rsid w:val="00CD1B15"/>
    <w:rsid w:val="00CD531B"/>
    <w:rsid w:val="00D05894"/>
    <w:rsid w:val="00D2210E"/>
    <w:rsid w:val="00D265F5"/>
    <w:rsid w:val="00D34DAE"/>
    <w:rsid w:val="00D36C7C"/>
    <w:rsid w:val="00D639DE"/>
    <w:rsid w:val="00D64539"/>
    <w:rsid w:val="00D64703"/>
    <w:rsid w:val="00D76910"/>
    <w:rsid w:val="00D8633A"/>
    <w:rsid w:val="00D96F20"/>
    <w:rsid w:val="00DA755E"/>
    <w:rsid w:val="00DC6F08"/>
    <w:rsid w:val="00DF14CF"/>
    <w:rsid w:val="00E01504"/>
    <w:rsid w:val="00E17A54"/>
    <w:rsid w:val="00E60FE5"/>
    <w:rsid w:val="00E635BD"/>
    <w:rsid w:val="00E72A5C"/>
    <w:rsid w:val="00E7374D"/>
    <w:rsid w:val="00EC07C6"/>
    <w:rsid w:val="00EC3D3B"/>
    <w:rsid w:val="00EE798B"/>
    <w:rsid w:val="00EF6174"/>
    <w:rsid w:val="00F0000B"/>
    <w:rsid w:val="00F21B01"/>
    <w:rsid w:val="00F93298"/>
    <w:rsid w:val="00FA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ACE8E"/>
  <w15:chartTrackingRefBased/>
  <w15:docId w15:val="{B53E0F94-08E1-479D-8878-E8E4AD68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98"/>
    <w:pPr>
      <w:ind w:left="720"/>
      <w:contextualSpacing/>
    </w:pPr>
  </w:style>
  <w:style w:type="table" w:styleId="TableGrid">
    <w:name w:val="Table Grid"/>
    <w:basedOn w:val="TableNormal"/>
    <w:uiPriority w:val="39"/>
    <w:rsid w:val="008018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E40"/>
    <w:pPr>
      <w:tabs>
        <w:tab w:val="center" w:pos="4680"/>
        <w:tab w:val="right" w:pos="9360"/>
      </w:tabs>
      <w:spacing w:line="240" w:lineRule="auto"/>
    </w:pPr>
  </w:style>
  <w:style w:type="character" w:customStyle="1" w:styleId="HeaderChar">
    <w:name w:val="Header Char"/>
    <w:basedOn w:val="DefaultParagraphFont"/>
    <w:link w:val="Header"/>
    <w:uiPriority w:val="99"/>
    <w:rsid w:val="00190E40"/>
  </w:style>
  <w:style w:type="paragraph" w:styleId="Footer">
    <w:name w:val="footer"/>
    <w:basedOn w:val="Normal"/>
    <w:link w:val="FooterChar"/>
    <w:uiPriority w:val="99"/>
    <w:unhideWhenUsed/>
    <w:rsid w:val="00190E40"/>
    <w:pPr>
      <w:tabs>
        <w:tab w:val="center" w:pos="4680"/>
        <w:tab w:val="right" w:pos="9360"/>
      </w:tabs>
      <w:spacing w:line="240" w:lineRule="auto"/>
    </w:pPr>
  </w:style>
  <w:style w:type="character" w:customStyle="1" w:styleId="FooterChar">
    <w:name w:val="Footer Char"/>
    <w:basedOn w:val="DefaultParagraphFont"/>
    <w:link w:val="Footer"/>
    <w:uiPriority w:val="99"/>
    <w:rsid w:val="00190E40"/>
  </w:style>
  <w:style w:type="character" w:styleId="CommentReference">
    <w:name w:val="annotation reference"/>
    <w:basedOn w:val="DefaultParagraphFont"/>
    <w:uiPriority w:val="99"/>
    <w:semiHidden/>
    <w:unhideWhenUsed/>
    <w:rsid w:val="00084443"/>
    <w:rPr>
      <w:sz w:val="16"/>
      <w:szCs w:val="16"/>
    </w:rPr>
  </w:style>
  <w:style w:type="paragraph" w:styleId="CommentText">
    <w:name w:val="annotation text"/>
    <w:basedOn w:val="Normal"/>
    <w:link w:val="CommentTextChar"/>
    <w:uiPriority w:val="99"/>
    <w:unhideWhenUsed/>
    <w:rsid w:val="00084443"/>
    <w:pPr>
      <w:spacing w:line="240" w:lineRule="auto"/>
    </w:pPr>
    <w:rPr>
      <w:sz w:val="20"/>
      <w:szCs w:val="20"/>
    </w:rPr>
  </w:style>
  <w:style w:type="character" w:customStyle="1" w:styleId="CommentTextChar">
    <w:name w:val="Comment Text Char"/>
    <w:basedOn w:val="DefaultParagraphFont"/>
    <w:link w:val="CommentText"/>
    <w:uiPriority w:val="99"/>
    <w:rsid w:val="00084443"/>
    <w:rPr>
      <w:sz w:val="20"/>
      <w:szCs w:val="20"/>
    </w:rPr>
  </w:style>
  <w:style w:type="paragraph" w:styleId="CommentSubject">
    <w:name w:val="annotation subject"/>
    <w:basedOn w:val="CommentText"/>
    <w:next w:val="CommentText"/>
    <w:link w:val="CommentSubjectChar"/>
    <w:uiPriority w:val="99"/>
    <w:semiHidden/>
    <w:unhideWhenUsed/>
    <w:rsid w:val="00084443"/>
    <w:rPr>
      <w:b/>
      <w:bCs/>
    </w:rPr>
  </w:style>
  <w:style w:type="character" w:customStyle="1" w:styleId="CommentSubjectChar">
    <w:name w:val="Comment Subject Char"/>
    <w:basedOn w:val="CommentTextChar"/>
    <w:link w:val="CommentSubject"/>
    <w:uiPriority w:val="99"/>
    <w:semiHidden/>
    <w:rsid w:val="00084443"/>
    <w:rPr>
      <w:b/>
      <w:bCs/>
      <w:sz w:val="20"/>
      <w:szCs w:val="20"/>
    </w:rPr>
  </w:style>
  <w:style w:type="character" w:styleId="Hyperlink">
    <w:name w:val="Hyperlink"/>
    <w:basedOn w:val="DefaultParagraphFont"/>
    <w:uiPriority w:val="99"/>
    <w:unhideWhenUsed/>
    <w:rsid w:val="00D96F20"/>
    <w:rPr>
      <w:color w:val="46B2B5" w:themeColor="hyperlink"/>
      <w:u w:val="single"/>
    </w:rPr>
  </w:style>
  <w:style w:type="character" w:styleId="UnresolvedMention">
    <w:name w:val="Unresolved Mention"/>
    <w:basedOn w:val="DefaultParagraphFont"/>
    <w:uiPriority w:val="99"/>
    <w:semiHidden/>
    <w:unhideWhenUsed/>
    <w:rsid w:val="00D96F20"/>
    <w:rPr>
      <w:color w:val="605E5C"/>
      <w:shd w:val="clear" w:color="auto" w:fill="E1DFDD"/>
    </w:rPr>
  </w:style>
  <w:style w:type="paragraph" w:styleId="BalloonText">
    <w:name w:val="Balloon Text"/>
    <w:basedOn w:val="Normal"/>
    <w:link w:val="BalloonTextChar"/>
    <w:uiPriority w:val="99"/>
    <w:semiHidden/>
    <w:unhideWhenUsed/>
    <w:rsid w:val="00D96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20"/>
    <w:rPr>
      <w:rFonts w:ascii="Segoe UI" w:hAnsi="Segoe UI" w:cs="Segoe UI"/>
      <w:sz w:val="18"/>
      <w:szCs w:val="18"/>
    </w:rPr>
  </w:style>
  <w:style w:type="paragraph" w:styleId="Revision">
    <w:name w:val="Revision"/>
    <w:hidden/>
    <w:uiPriority w:val="99"/>
    <w:semiHidden/>
    <w:rsid w:val="00DA755E"/>
    <w:pPr>
      <w:spacing w:line="240" w:lineRule="auto"/>
    </w:pPr>
  </w:style>
  <w:style w:type="character" w:styleId="FollowedHyperlink">
    <w:name w:val="FollowedHyperlink"/>
    <w:basedOn w:val="DefaultParagraphFont"/>
    <w:uiPriority w:val="99"/>
    <w:semiHidden/>
    <w:unhideWhenUsed/>
    <w:rsid w:val="00006195"/>
    <w:rPr>
      <w:color w:val="A46694" w:themeColor="followedHyperlink"/>
      <w:u w:val="single"/>
    </w:rPr>
  </w:style>
  <w:style w:type="table" w:customStyle="1" w:styleId="TableGrid1">
    <w:name w:val="Table Grid1"/>
    <w:basedOn w:val="TableNormal"/>
    <w:next w:val="TableGrid"/>
    <w:uiPriority w:val="39"/>
    <w:rsid w:val="00DC6F08"/>
    <w:pPr>
      <w:spacing w:line="240" w:lineRule="auto"/>
    </w:pPr>
    <w:rPr>
      <w:rFonts w:ascii="Gill Sans MT" w:eastAsia="Gill Sans MT" w:hAnsi="Gill Sans M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28772">
      <w:bodyDiv w:val="1"/>
      <w:marLeft w:val="0"/>
      <w:marRight w:val="0"/>
      <w:marTop w:val="0"/>
      <w:marBottom w:val="0"/>
      <w:divBdr>
        <w:top w:val="none" w:sz="0" w:space="0" w:color="auto"/>
        <w:left w:val="none" w:sz="0" w:space="0" w:color="auto"/>
        <w:bottom w:val="none" w:sz="0" w:space="0" w:color="auto"/>
        <w:right w:val="none" w:sz="0" w:space="0" w:color="auto"/>
      </w:divBdr>
    </w:div>
    <w:div w:id="1668434696">
      <w:bodyDiv w:val="1"/>
      <w:marLeft w:val="0"/>
      <w:marRight w:val="0"/>
      <w:marTop w:val="0"/>
      <w:marBottom w:val="0"/>
      <w:divBdr>
        <w:top w:val="none" w:sz="0" w:space="0" w:color="auto"/>
        <w:left w:val="none" w:sz="0" w:space="0" w:color="auto"/>
        <w:bottom w:val="none" w:sz="0" w:space="0" w:color="auto"/>
        <w:right w:val="none" w:sz="0" w:space="0" w:color="auto"/>
      </w:divBdr>
    </w:div>
    <w:div w:id="1743143275">
      <w:bodyDiv w:val="1"/>
      <w:marLeft w:val="0"/>
      <w:marRight w:val="0"/>
      <w:marTop w:val="0"/>
      <w:marBottom w:val="0"/>
      <w:divBdr>
        <w:top w:val="none" w:sz="0" w:space="0" w:color="auto"/>
        <w:left w:val="none" w:sz="0" w:space="0" w:color="auto"/>
        <w:bottom w:val="none" w:sz="0" w:space="0" w:color="auto"/>
        <w:right w:val="none" w:sz="0" w:space="0" w:color="auto"/>
      </w:divBdr>
    </w:div>
    <w:div w:id="19658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ingpolicyinstitute.org/sites/default/files/product-files/RELN_DARE_TOO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5bde8401-9b54-4c2c-8a0c-569fc1789664.filesusr.com/ugd/eb0b6a_74b18156bb9147ff892987f8deb0686f.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lenetwork.org/funding-guidelin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erts.net/elev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lenetwork.org/funding-guidelines/" TargetMode="External"/><Relationship Id="rId14" Type="http://schemas.openxmlformats.org/officeDocument/2006/relationships/hyperlink" Target="https://turnaroundusa.org/toolbo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3924</Characters>
  <Application>Microsoft Office Word</Application>
  <DocSecurity>0</DocSecurity>
  <Lines>156</Lines>
  <Paragraphs>170</Paragraphs>
  <ScaleCrop>false</ScaleCrop>
  <HeadingPairs>
    <vt:vector size="2" baseType="variant">
      <vt:variant>
        <vt:lpstr>Title</vt:lpstr>
      </vt:variant>
      <vt:variant>
        <vt:i4>1</vt:i4>
      </vt:variant>
    </vt:vector>
  </HeadingPairs>
  <TitlesOfParts>
    <vt:vector size="1" baseType="lpstr">
      <vt:lpstr/>
    </vt:vector>
  </TitlesOfParts>
  <Company>Nelson Mullins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Elysa Cash</dc:creator>
  <cp:keywords/>
  <dc:description/>
  <cp:lastModifiedBy>Dan</cp:lastModifiedBy>
  <cp:revision>2</cp:revision>
  <dcterms:created xsi:type="dcterms:W3CDTF">2021-11-10T01:20:00Z</dcterms:created>
  <dcterms:modified xsi:type="dcterms:W3CDTF">2021-11-10T01:20:00Z</dcterms:modified>
</cp:coreProperties>
</file>