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760"/>
        <w:gridCol w:w="3590"/>
        <w:tblGridChange w:id="0">
          <w:tblGrid>
            <w:gridCol w:w="5760"/>
            <w:gridCol w:w="35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Tool I—Learning Recovery &amp; Redesign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u w:val="single"/>
                <w:rtl w:val="0"/>
              </w:rPr>
              <w:t xml:space="preserve">Guiding Principles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 Self-Assessment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</w:rPr>
              <mc:AlternateContent>
                <mc:Choice Requires="wpg">
                  <w:drawing>
                    <wp:inline distB="0" distT="0" distL="0" distR="0">
                      <wp:extent cx="2277745" cy="704850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207128" y="3427575"/>
                                <a:ext cx="2277745" cy="704850"/>
                                <a:chOff x="4207128" y="3427575"/>
                                <a:chExt cx="2277740" cy="7048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207128" y="3427575"/>
                                  <a:ext cx="2277740" cy="704850"/>
                                  <a:chOff x="0" y="0"/>
                                  <a:chExt cx="2278325" cy="7048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783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617642" y="110132"/>
                                    <a:ext cx="616634" cy="512852"/>
                                    <a:chOff x="6559262" y="1024532"/>
                                    <a:chExt cx="616634" cy="512852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6565761" y="1147514"/>
                                      <a:ext cx="610135" cy="389870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89870" w="610135">
                                          <a:moveTo>
                                            <a:pt x="492661" y="148312"/>
                                          </a:moveTo>
                                          <a:lnTo>
                                            <a:pt x="566817" y="74156"/>
                                          </a:lnTo>
                                          <a:lnTo>
                                            <a:pt x="610136" y="117475"/>
                                          </a:lnTo>
                                          <a:lnTo>
                                            <a:pt x="610136" y="0"/>
                                          </a:lnTo>
                                          <a:lnTo>
                                            <a:pt x="492661" y="0"/>
                                          </a:lnTo>
                                          <a:lnTo>
                                            <a:pt x="535980" y="43319"/>
                                          </a:lnTo>
                                          <a:lnTo>
                                            <a:pt x="463292" y="116007"/>
                                          </a:lnTo>
                                          <a:lnTo>
                                            <a:pt x="338475" y="240824"/>
                                          </a:lnTo>
                                          <a:lnTo>
                                            <a:pt x="228342" y="130691"/>
                                          </a:lnTo>
                                          <a:lnTo>
                                            <a:pt x="0" y="359033"/>
                                          </a:lnTo>
                                          <a:lnTo>
                                            <a:pt x="30837" y="389870"/>
                                          </a:lnTo>
                                          <a:lnTo>
                                            <a:pt x="228342" y="192365"/>
                                          </a:lnTo>
                                          <a:lnTo>
                                            <a:pt x="338475" y="302498"/>
                                          </a:lnTo>
                                          <a:lnTo>
                                            <a:pt x="492661" y="1483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" name="Shape 6"/>
                                  <wps:spPr>
                                    <a:xfrm>
                                      <a:off x="6610548" y="1024532"/>
                                      <a:ext cx="73421" cy="73421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3421" w="73421">
                                          <a:moveTo>
                                            <a:pt x="73422" y="36711"/>
                                          </a:moveTo>
                                          <a:cubicBezTo>
                                            <a:pt x="73422" y="56986"/>
                                            <a:pt x="56986" y="73422"/>
                                            <a:pt x="36711" y="73422"/>
                                          </a:cubicBezTo>
                                          <a:cubicBezTo>
                                            <a:pt x="16436" y="73422"/>
                                            <a:pt x="0" y="56986"/>
                                            <a:pt x="0" y="36711"/>
                                          </a:cubicBezTo>
                                          <a:cubicBezTo>
                                            <a:pt x="0" y="16436"/>
                                            <a:pt x="16436" y="0"/>
                                            <a:pt x="36711" y="0"/>
                                          </a:cubicBezTo>
                                          <a:cubicBezTo>
                                            <a:pt x="56986" y="0"/>
                                            <a:pt x="73422" y="16436"/>
                                            <a:pt x="73422" y="367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7" name="Shape 7"/>
                                  <wps:spPr>
                                    <a:xfrm>
                                      <a:off x="6559262" y="1105298"/>
                                      <a:ext cx="465826" cy="314904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314904" w="465826">
                                          <a:moveTo>
                                            <a:pt x="441670" y="144713"/>
                                          </a:moveTo>
                                          <a:lnTo>
                                            <a:pt x="449013" y="137370"/>
                                          </a:lnTo>
                                          <a:lnTo>
                                            <a:pt x="465826" y="120557"/>
                                          </a:lnTo>
                                          <a:lnTo>
                                            <a:pt x="445415" y="28780"/>
                                          </a:lnTo>
                                          <a:cubicBezTo>
                                            <a:pt x="444791" y="25528"/>
                                            <a:pt x="443018" y="22610"/>
                                            <a:pt x="440422" y="20556"/>
                                          </a:cubicBezTo>
                                          <a:cubicBezTo>
                                            <a:pt x="431629" y="13656"/>
                                            <a:pt x="421687" y="8362"/>
                                            <a:pt x="411054" y="4917"/>
                                          </a:cubicBezTo>
                                          <a:cubicBezTo>
                                            <a:pt x="391872" y="-1639"/>
                                            <a:pt x="371057" y="-1639"/>
                                            <a:pt x="351876" y="4917"/>
                                          </a:cubicBezTo>
                                          <a:cubicBezTo>
                                            <a:pt x="341245" y="8370"/>
                                            <a:pt x="331305" y="13664"/>
                                            <a:pt x="322507" y="20556"/>
                                          </a:cubicBezTo>
                                          <a:cubicBezTo>
                                            <a:pt x="319966" y="22659"/>
                                            <a:pt x="318208" y="25556"/>
                                            <a:pt x="317514" y="28780"/>
                                          </a:cubicBezTo>
                                          <a:lnTo>
                                            <a:pt x="308263" y="71805"/>
                                          </a:lnTo>
                                          <a:lnTo>
                                            <a:pt x="308263" y="71805"/>
                                          </a:lnTo>
                                          <a:lnTo>
                                            <a:pt x="298645" y="28780"/>
                                          </a:lnTo>
                                          <a:cubicBezTo>
                                            <a:pt x="297971" y="25530"/>
                                            <a:pt x="296178" y="22619"/>
                                            <a:pt x="293579" y="20556"/>
                                          </a:cubicBezTo>
                                          <a:cubicBezTo>
                                            <a:pt x="284785" y="13656"/>
                                            <a:pt x="274843" y="8362"/>
                                            <a:pt x="264210" y="4917"/>
                                          </a:cubicBezTo>
                                          <a:cubicBezTo>
                                            <a:pt x="234066" y="-4812"/>
                                            <a:pt x="201058" y="1047"/>
                                            <a:pt x="176104" y="20556"/>
                                          </a:cubicBezTo>
                                          <a:cubicBezTo>
                                            <a:pt x="173563" y="22659"/>
                                            <a:pt x="171805" y="25556"/>
                                            <a:pt x="171111" y="28780"/>
                                          </a:cubicBezTo>
                                          <a:lnTo>
                                            <a:pt x="161419" y="70410"/>
                                          </a:lnTo>
                                          <a:cubicBezTo>
                                            <a:pt x="161419" y="70410"/>
                                            <a:pt x="161419" y="70410"/>
                                            <a:pt x="161419" y="70410"/>
                                          </a:cubicBezTo>
                                          <a:lnTo>
                                            <a:pt x="151874" y="28780"/>
                                          </a:lnTo>
                                          <a:cubicBezTo>
                                            <a:pt x="151142" y="25536"/>
                                            <a:pt x="149330" y="22636"/>
                                            <a:pt x="146735" y="20556"/>
                                          </a:cubicBezTo>
                                          <a:cubicBezTo>
                                            <a:pt x="137937" y="13664"/>
                                            <a:pt x="127996" y="8370"/>
                                            <a:pt x="117366" y="4917"/>
                                          </a:cubicBezTo>
                                          <a:cubicBezTo>
                                            <a:pt x="98185" y="-1639"/>
                                            <a:pt x="77369" y="-1639"/>
                                            <a:pt x="58188" y="4917"/>
                                          </a:cubicBezTo>
                                          <a:cubicBezTo>
                                            <a:pt x="47565" y="8386"/>
                                            <a:pt x="37627" y="13678"/>
                                            <a:pt x="28819" y="20556"/>
                                          </a:cubicBezTo>
                                          <a:cubicBezTo>
                                            <a:pt x="26279" y="22659"/>
                                            <a:pt x="24520" y="25556"/>
                                            <a:pt x="23827" y="28780"/>
                                          </a:cubicBezTo>
                                          <a:lnTo>
                                            <a:pt x="478" y="135388"/>
                                          </a:lnTo>
                                          <a:cubicBezTo>
                                            <a:pt x="-1613" y="143601"/>
                                            <a:pt x="3349" y="151954"/>
                                            <a:pt x="11561" y="154046"/>
                                          </a:cubicBezTo>
                                          <a:cubicBezTo>
                                            <a:pt x="11758" y="154096"/>
                                            <a:pt x="11955" y="154142"/>
                                            <a:pt x="12152" y="154184"/>
                                          </a:cubicBezTo>
                                          <a:cubicBezTo>
                                            <a:pt x="12959" y="154257"/>
                                            <a:pt x="13769" y="154257"/>
                                            <a:pt x="14575" y="154184"/>
                                          </a:cubicBezTo>
                                          <a:cubicBezTo>
                                            <a:pt x="21597" y="154348"/>
                                            <a:pt x="27752" y="149517"/>
                                            <a:pt x="29260" y="142657"/>
                                          </a:cubicBezTo>
                                          <a:lnTo>
                                            <a:pt x="51286" y="44051"/>
                                          </a:lnTo>
                                          <a:lnTo>
                                            <a:pt x="51286" y="44051"/>
                                          </a:lnTo>
                                          <a:lnTo>
                                            <a:pt x="51286" y="96181"/>
                                          </a:lnTo>
                                          <a:lnTo>
                                            <a:pt x="29260" y="205579"/>
                                          </a:lnTo>
                                          <a:lnTo>
                                            <a:pt x="51286" y="205579"/>
                                          </a:lnTo>
                                          <a:lnTo>
                                            <a:pt x="51286" y="314905"/>
                                          </a:lnTo>
                                          <a:lnTo>
                                            <a:pt x="80655" y="285536"/>
                                          </a:lnTo>
                                          <a:lnTo>
                                            <a:pt x="80655" y="205579"/>
                                          </a:lnTo>
                                          <a:lnTo>
                                            <a:pt x="95339" y="205579"/>
                                          </a:lnTo>
                                          <a:lnTo>
                                            <a:pt x="95339" y="270851"/>
                                          </a:lnTo>
                                          <a:lnTo>
                                            <a:pt x="124708" y="241483"/>
                                          </a:lnTo>
                                          <a:lnTo>
                                            <a:pt x="124708" y="205579"/>
                                          </a:lnTo>
                                          <a:lnTo>
                                            <a:pt x="146735" y="205579"/>
                                          </a:lnTo>
                                          <a:lnTo>
                                            <a:pt x="124708" y="96254"/>
                                          </a:lnTo>
                                          <a:lnTo>
                                            <a:pt x="124708" y="44859"/>
                                          </a:lnTo>
                                          <a:lnTo>
                                            <a:pt x="124708" y="44859"/>
                                          </a:lnTo>
                                          <a:lnTo>
                                            <a:pt x="146735" y="140748"/>
                                          </a:lnTo>
                                          <a:cubicBezTo>
                                            <a:pt x="147385" y="148367"/>
                                            <a:pt x="153773" y="154212"/>
                                            <a:pt x="161419" y="154184"/>
                                          </a:cubicBezTo>
                                          <a:lnTo>
                                            <a:pt x="161419" y="154184"/>
                                          </a:lnTo>
                                          <a:cubicBezTo>
                                            <a:pt x="168276" y="154139"/>
                                            <a:pt x="174189" y="149354"/>
                                            <a:pt x="175663" y="142657"/>
                                          </a:cubicBezTo>
                                          <a:lnTo>
                                            <a:pt x="176104" y="139500"/>
                                          </a:lnTo>
                                          <a:lnTo>
                                            <a:pt x="197543" y="45299"/>
                                          </a:lnTo>
                                          <a:cubicBezTo>
                                            <a:pt x="197543" y="45299"/>
                                            <a:pt x="197543" y="45299"/>
                                            <a:pt x="197543" y="45299"/>
                                          </a:cubicBezTo>
                                          <a:lnTo>
                                            <a:pt x="197543" y="168428"/>
                                          </a:lnTo>
                                          <a:lnTo>
                                            <a:pt x="213769" y="152128"/>
                                          </a:lnTo>
                                          <a:cubicBezTo>
                                            <a:pt x="225232" y="140652"/>
                                            <a:pt x="243827" y="140642"/>
                                            <a:pt x="255303" y="152106"/>
                                          </a:cubicBezTo>
                                          <a:cubicBezTo>
                                            <a:pt x="255310" y="152113"/>
                                            <a:pt x="255318" y="152121"/>
                                            <a:pt x="255326" y="152128"/>
                                          </a:cubicBezTo>
                                          <a:lnTo>
                                            <a:pt x="271552" y="167767"/>
                                          </a:lnTo>
                                          <a:lnTo>
                                            <a:pt x="271552" y="45373"/>
                                          </a:lnTo>
                                          <a:cubicBezTo>
                                            <a:pt x="271552" y="45373"/>
                                            <a:pt x="271552" y="45373"/>
                                            <a:pt x="271552" y="45373"/>
                                          </a:cubicBezTo>
                                          <a:lnTo>
                                            <a:pt x="293579" y="142730"/>
                                          </a:lnTo>
                                          <a:cubicBezTo>
                                            <a:pt x="295117" y="149561"/>
                                            <a:pt x="301264" y="154355"/>
                                            <a:pt x="308263" y="154184"/>
                                          </a:cubicBezTo>
                                          <a:lnTo>
                                            <a:pt x="308263" y="154184"/>
                                          </a:lnTo>
                                          <a:cubicBezTo>
                                            <a:pt x="315148" y="154173"/>
                                            <a:pt x="321100" y="149380"/>
                                            <a:pt x="322580" y="142657"/>
                                          </a:cubicBezTo>
                                          <a:lnTo>
                                            <a:pt x="344607" y="45299"/>
                                          </a:lnTo>
                                          <a:cubicBezTo>
                                            <a:pt x="344607" y="45299"/>
                                            <a:pt x="344607" y="45299"/>
                                            <a:pt x="344607" y="45299"/>
                                          </a:cubicBezTo>
                                          <a:lnTo>
                                            <a:pt x="344607" y="241336"/>
                                          </a:lnTo>
                                          <a:lnTo>
                                            <a:pt x="344607" y="241336"/>
                                          </a:lnTo>
                                          <a:lnTo>
                                            <a:pt x="373976" y="211967"/>
                                          </a:lnTo>
                                          <a:lnTo>
                                            <a:pt x="373976" y="161526"/>
                                          </a:lnTo>
                                          <a:lnTo>
                                            <a:pt x="388660" y="161526"/>
                                          </a:lnTo>
                                          <a:lnTo>
                                            <a:pt x="388660" y="197576"/>
                                          </a:lnTo>
                                          <a:lnTo>
                                            <a:pt x="418029" y="168208"/>
                                          </a:lnTo>
                                          <a:lnTo>
                                            <a:pt x="418029" y="45373"/>
                                          </a:lnTo>
                                          <a:cubicBezTo>
                                            <a:pt x="418029" y="45373"/>
                                            <a:pt x="418029" y="45373"/>
                                            <a:pt x="418029" y="45373"/>
                                          </a:cubicBezTo>
                                          <a:lnTo>
                                            <a:pt x="441157" y="14478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8" name="Shape 8"/>
                                  <wps:spPr>
                                    <a:xfrm>
                                      <a:off x="6904162" y="1024532"/>
                                      <a:ext cx="73421" cy="73421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3421" w="73421">
                                          <a:moveTo>
                                            <a:pt x="73422" y="36711"/>
                                          </a:moveTo>
                                          <a:cubicBezTo>
                                            <a:pt x="73422" y="56986"/>
                                            <a:pt x="56986" y="73422"/>
                                            <a:pt x="36711" y="73422"/>
                                          </a:cubicBezTo>
                                          <a:cubicBezTo>
                                            <a:pt x="16436" y="73422"/>
                                            <a:pt x="0" y="56986"/>
                                            <a:pt x="0" y="36711"/>
                                          </a:cubicBezTo>
                                          <a:cubicBezTo>
                                            <a:pt x="0" y="16436"/>
                                            <a:pt x="16436" y="0"/>
                                            <a:pt x="36711" y="0"/>
                                          </a:cubicBezTo>
                                          <a:cubicBezTo>
                                            <a:pt x="56986" y="0"/>
                                            <a:pt x="73422" y="16436"/>
                                            <a:pt x="73422" y="367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9" name="Shape 9"/>
                                  <wps:spPr>
                                    <a:xfrm>
                                      <a:off x="6757098" y="1024532"/>
                                      <a:ext cx="73421" cy="73421"/>
                                    </a:xfrm>
                                    <a:custGeom>
                                      <a:rect b="b" l="l" r="r" t="t"/>
                                      <a:pathLst>
                                        <a:path extrusionOk="0" h="73421" w="73421">
                                          <a:moveTo>
                                            <a:pt x="73422" y="36711"/>
                                          </a:moveTo>
                                          <a:cubicBezTo>
                                            <a:pt x="73422" y="56986"/>
                                            <a:pt x="56986" y="73422"/>
                                            <a:pt x="36711" y="73422"/>
                                          </a:cubicBezTo>
                                          <a:cubicBezTo>
                                            <a:pt x="16436" y="73422"/>
                                            <a:pt x="0" y="56986"/>
                                            <a:pt x="0" y="36711"/>
                                          </a:cubicBezTo>
                                          <a:cubicBezTo>
                                            <a:pt x="0" y="16436"/>
                                            <a:pt x="16436" y="0"/>
                                            <a:pt x="36711" y="0"/>
                                          </a:cubicBezTo>
                                          <a:cubicBezTo>
                                            <a:pt x="56986" y="0"/>
                                            <a:pt x="73422" y="16436"/>
                                            <a:pt x="73422" y="367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35626"/>
                                    <a:ext cx="1537855" cy="6356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cd8d06"/>
                                          <w:sz w:val="32"/>
                                          <w:vertAlign w:val="baseline"/>
                                        </w:rPr>
                                        <w:t xml:space="preserve">SUSTAIN STRATEGICALLY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2277745" cy="704850"/>
                      <wp:effectExtent b="0" l="0" r="0" t="0"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77745" cy="704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do we mean by “Sustain Strategically”?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ESSER funds are available through September 2024. On one hand, this is a substantial amount of time. On the other hand, it’s not forever.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Plan carefully for the end of these supplementary funds or risk going over a “fiscal cliff.”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If you’re planting new seeds, how will you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change underlying cost structure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so you can sustain what grows? How can you use ESSER funds to lay the groundwork for a more equitable funding formula? What are you learning along the way about what to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stop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what to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sustain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Which investments will continue to pay dividends and should be set up to continue over time?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much of a priority was this Guiding Principle for your initial planning?</w:t>
      </w:r>
      <w:r w:rsidDel="00000000" w:rsidR="00000000" w:rsidRPr="00000000">
        <w:rPr>
          <w:rtl w:val="0"/>
        </w:rPr>
      </w:r>
    </w:p>
    <w:tbl>
      <w:tblPr>
        <w:tblStyle w:val="Table2"/>
        <w:tblW w:w="94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800"/>
        <w:gridCol w:w="360"/>
        <w:gridCol w:w="2340"/>
        <w:gridCol w:w="360"/>
        <w:gridCol w:w="2070"/>
        <w:gridCol w:w="360"/>
        <w:gridCol w:w="1795"/>
        <w:tblGridChange w:id="0">
          <w:tblGrid>
            <w:gridCol w:w="360"/>
            <w:gridCol w:w="1800"/>
            <w:gridCol w:w="360"/>
            <w:gridCol w:w="2340"/>
            <w:gridCol w:w="360"/>
            <w:gridCol w:w="2070"/>
            <w:gridCol w:w="360"/>
            <w:gridCol w:w="1795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 Priority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Priority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Moderate Priority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Priority</w:t>
            </w:r>
          </w:p>
        </w:tc>
      </w:tr>
      <w:tr>
        <w:trPr>
          <w:cantSplit w:val="0"/>
          <w:trHeight w:val="83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Why?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tabs>
                <w:tab w:val="left" w:pos="468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 you see look-fors like these in your current plan?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plan can provide the foundation for lasting systemic change in your district. Below are some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illustrative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examples of how this Guiding Principle might show up in your current plan.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plan identifies other sources of funds that can supplement spending through post-ARP recovery years.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example, if you use ESSER funds to increase the diversity of your workforce, you reexamine your traditional Title II budgets to shift funds from less effective spending (e.g., one-time professional development) to this evidence-based district priority.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plan builds long-term partnerships that add capacity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For example, if you partnered with other social sector agencies or community-based organizations to navigate the pandemic, your plan strengthens and formalizes those partnerships to add long-term capacity to your recovery.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plan includes an explicit timeline for deciding what to sustain and how to sustain it.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example, if you expand summer programming, you regularly track the return on investment to inform decisions about whether and how to sustain the costs of the larger program.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plan identifies up-front or one-time costs of long-term strategies and uses ESSER funds for these foundational investments.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example, in your efforts to better understand and attend to the needs of the whole child, you invest non-recurring funds to improve data systems, curricula and instructional materials, assessments and surveys, and other assets that can advance a longer-term commitment to supporting the whole child.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much does this Guiding Principle actually show up in your plan?</w:t>
      </w:r>
    </w:p>
    <w:tbl>
      <w:tblPr>
        <w:tblStyle w:val="Table3"/>
        <w:tblW w:w="9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5"/>
        <w:gridCol w:w="1800"/>
        <w:gridCol w:w="360"/>
        <w:gridCol w:w="2340"/>
        <w:gridCol w:w="360"/>
        <w:gridCol w:w="2070"/>
        <w:gridCol w:w="360"/>
        <w:gridCol w:w="1795"/>
        <w:tblGridChange w:id="0">
          <w:tblGrid>
            <w:gridCol w:w="355"/>
            <w:gridCol w:w="1800"/>
            <w:gridCol w:w="360"/>
            <w:gridCol w:w="2340"/>
            <w:gridCol w:w="360"/>
            <w:gridCol w:w="2070"/>
            <w:gridCol w:w="360"/>
            <w:gridCol w:w="1795"/>
          </w:tblGrid>
        </w:tblGridChange>
      </w:tblGrid>
      <w:tr>
        <w:trPr>
          <w:cantSplit w:val="0"/>
          <w:trHeight w:val="12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Minimally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Somewhat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Moderately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Significantly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 specific ways in which this Guiding Principle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shows up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your plan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30"/>
              </w:tabs>
              <w:spacing w:after="1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0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 specific ways in which this Guiding Principle is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lacking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in your plan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How can you integrate this Guiding Principle more? 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following resources may be helpful as you seek more ways for your plans to Sustain Strategically: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Sustainability Tools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(Education Resource Strategies) – ERS has produced three short resources full of concrete advice for how districts can take a sustainable approach to ESSER funds: </w:t>
        <w:br w:type="textWrapping"/>
        <w:t xml:space="preserve">a 90-second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video explainer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a brief outlining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four sustainability strategies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, and 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specific examples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drawn from district CFOs.</w:t>
      </w:r>
    </w:p>
    <w:p w:rsidR="00000000" w:rsidDel="00000000" w:rsidP="00000000" w:rsidRDefault="00000000" w:rsidRPr="00000000" w14:paraId="00000044">
      <w:pPr>
        <w:spacing w:line="240" w:lineRule="auto"/>
        <w:ind w:left="720" w:firstLine="0"/>
        <w:rPr>
          <w:rFonts w:ascii="Calibri" w:cs="Calibri" w:eastAsia="Calibri" w:hAnsi="Calibri"/>
          <w:b w:val="1"/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>
          <w:rFonts w:ascii="Calibri" w:cs="Calibri" w:eastAsia="Calibri" w:hAnsi="Calibri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ESSER Strategy Planner &amp; Spending Calculator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70c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(Education Resource Strategies) – This interactive, open-source Google Sheet is organized around five key evidence-based strategies and helps districts prepare or revise multi-year ESSER spending plans to avoid a fiscal cliff.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rFonts w:ascii="Calibri" w:cs="Calibri" w:eastAsia="Calibri" w:hAnsi="Calibri"/>
        </w:rPr>
      </w:pPr>
      <w:hyperlink r:id="rId14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Three Strategies for Investing One-Time Federal Relief Aid to Make a Lasting Difference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(WestEd) – This brief explains three strategies for how to use one-time funds sustainably while also pursuing long-term improvement.</w:t>
      </w:r>
    </w:p>
    <w:p w:rsidR="00000000" w:rsidDel="00000000" w:rsidP="00000000" w:rsidRDefault="00000000" w:rsidRPr="00000000" w14:paraId="00000048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720" w:right="-90" w:firstLine="0"/>
        <w:rPr>
          <w:rFonts w:ascii="Calibri" w:cs="Calibri" w:eastAsia="Calibri" w:hAnsi="Calibri"/>
        </w:rPr>
      </w:pPr>
      <w:hyperlink r:id="rId15">
        <w:r w:rsidDel="00000000" w:rsidR="00000000" w:rsidRPr="00000000">
          <w:rPr>
            <w:rFonts w:ascii="Calibri" w:cs="Calibri" w:eastAsia="Calibri" w:hAnsi="Calibri"/>
            <w:b w:val="1"/>
            <w:color w:val="0070c0"/>
            <w:u w:val="single"/>
            <w:rtl w:val="0"/>
          </w:rPr>
          <w:t xml:space="preserve">ARP Funding for Schools: Five Principles to Guide District Spending Decisions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(Edunomics Lab) – This presentation provides a brief outline of how to best calculate multi-year spending.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will you do differently now?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After reviewing your plans and your responses to this Self-Assessment, what changes will you make to better apply this Guiding Principle? Use the table below to identify your team’s next steps, responsible team member(s), deadlines, and resources needed to succeed.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1350"/>
        <w:gridCol w:w="1170"/>
        <w:gridCol w:w="2722"/>
        <w:tblGridChange w:id="0">
          <w:tblGrid>
            <w:gridCol w:w="4135"/>
            <w:gridCol w:w="1350"/>
            <w:gridCol w:w="1170"/>
            <w:gridCol w:w="2722"/>
          </w:tblGrid>
        </w:tblGridChange>
      </w:tblGrid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Action Item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Owner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Deadline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Resources Needed</w:t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footerReference r:id="rId18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02800" cy="298662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2800" cy="2986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06328" cy="206482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328" cy="2064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AASA Learning Recovery &amp; Redesign Self-Assessment Tool I: Guiding Principles Self-Assessment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5537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10A98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80180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90E40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0E40"/>
  </w:style>
  <w:style w:type="paragraph" w:styleId="Footer">
    <w:name w:val="footer"/>
    <w:basedOn w:val="Normal"/>
    <w:link w:val="FooterChar"/>
    <w:uiPriority w:val="99"/>
    <w:unhideWhenUsed w:val="1"/>
    <w:rsid w:val="00190E40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0E40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8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08444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844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8444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84443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D96F20"/>
    <w:rPr>
      <w:color w:val="46b2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96F20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6F2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6F20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DA755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06195"/>
    <w:rPr>
      <w:color w:val="a46694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72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30.0" w:type="dxa"/>
        <w:left w:w="144.0" w:type="dxa"/>
        <w:bottom w:w="72.0" w:type="dxa"/>
        <w:right w:w="144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44.0" w:type="dxa"/>
        <w:left w:w="144.0" w:type="dxa"/>
        <w:bottom w:w="144.0" w:type="dxa"/>
        <w:right w:w="144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erstrategies.org/tap/CARES_act_sustainable_education_spending" TargetMode="External"/><Relationship Id="rId10" Type="http://schemas.openxmlformats.org/officeDocument/2006/relationships/hyperlink" Target="https://www.youtube.com/watch?v=rFBFtylurww" TargetMode="External"/><Relationship Id="rId13" Type="http://schemas.openxmlformats.org/officeDocument/2006/relationships/hyperlink" Target="https://www.erstrategies.org/tap/ESSER_School_District_Strategy_and_Funding_Calculator" TargetMode="External"/><Relationship Id="rId12" Type="http://schemas.openxmlformats.org/officeDocument/2006/relationships/hyperlink" Target="https://www.erstrategies.org/cms/files/4924-getting-real-about-sustainability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strategies.org/tap/ESSER_School_District_Strategy_and_Funding_Calculator" TargetMode="External"/><Relationship Id="rId15" Type="http://schemas.openxmlformats.org/officeDocument/2006/relationships/hyperlink" Target="https://edunomicslab.org/wp-content/uploads/2021/05/Roza_SBA-Network_May-11.pdf" TargetMode="External"/><Relationship Id="rId14" Type="http://schemas.openxmlformats.org/officeDocument/2006/relationships/hyperlink" Target="https://www.wested.org/resources/three-strategies-for-investing-one-time-federal-relief-aid-to-make-a-lasting-difference/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hyperlink" Target="https://www.erstrategies.org/tap/CARES_act_sustainable_education_spend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K5NiVGL2+PvShqKTz8E7otZ9dA==">AMUW2mXoQWMlqctgyYf++MK+GM/L36ZQaYrqExOM7xXJLyZ1jIP3oRJEtdH5+6VR/KQ4oHkRwhuxmoQVw8PeHKXo6FtdhriChqSsrw43Q8u46bVp3/donr3U694g7SkGvDzO5NbI9t5d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2021-11-10T01:14:00Z</dcterms:created>
  <dc:creator>Elysa Cash</dc:creator>
</cp:coreProperties>
</file>